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731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：衡水市科学技术协会（汇总）</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衡水市科学技术协会</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组</w:t>
      </w:r>
      <w:r>
        <w:rPr>
          <w:rFonts w:hint="default" w:ascii="仿宋_GB2312" w:hAnsi="仿宋_GB2312" w:eastAsia="仿宋_GB2312" w:cs="仿宋_GB2312"/>
          <w:i w:val="0"/>
          <w:iCs w:val="0"/>
          <w:caps w:val="0"/>
          <w:color w:val="auto"/>
          <w:spacing w:val="0"/>
          <w:sz w:val="32"/>
          <w:szCs w:val="32"/>
          <w:highlight w:val="none"/>
          <w:shd w:val="clear" w:fill="FFFFFF"/>
        </w:rPr>
        <w:t>织全市科技工作者投身于经济建设主战场，开展学术交流，活跃学术思想，促进学科发展，推动决策科学化和民主化；普及科技知识，推广先进技术，开展青少年科学技术教育活动；开展科学论证，提出政策性建议，接受委托承担项目评估、成果鉴定、技术职务资格评审、咨询服务等项目；开展继续教育和技术培训，推广科技成果，促进科技成果向生产力转化；表彰奖励优秀科技 工作者，举荐人才，弘扬“尊重知识、尊重人才”的社会风尚，反映科技工作者的意见和要求，维护科技工作者的合法权益，为科技团体和科技工作者服务；开展国际民间科学技术交流活动和友好往来；对所属市级学会进行管理，对县(市、区) 科协进行业务指导；承担市委、市政府交办的有关事项。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3</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108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3746"/>
        <w:gridCol w:w="2468"/>
        <w:gridCol w:w="3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826"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746"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6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3834"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26"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746"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val="en-US" w:eastAsia="zh-CN"/>
              </w:rPr>
              <w:t>衡水市科学技术协会</w:t>
            </w:r>
          </w:p>
        </w:tc>
        <w:tc>
          <w:tcPr>
            <w:tcW w:w="2468"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参公事业单位</w:t>
            </w:r>
          </w:p>
        </w:tc>
        <w:tc>
          <w:tcPr>
            <w:tcW w:w="3834"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26"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746" w:type="dxa"/>
          </w:tcPr>
          <w:p>
            <w:pPr>
              <w:spacing w:line="560" w:lineRule="exact"/>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衡水市科技工作者服务中心</w:t>
            </w:r>
          </w:p>
        </w:tc>
        <w:tc>
          <w:tcPr>
            <w:tcW w:w="246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3834"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26"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746" w:type="dxa"/>
          </w:tcPr>
          <w:p>
            <w:pPr>
              <w:spacing w:line="560" w:lineRule="exact"/>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衡水市科普宣传教育中心</w:t>
            </w:r>
          </w:p>
        </w:tc>
        <w:tc>
          <w:tcPr>
            <w:tcW w:w="246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3834"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0874"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编制部门（单位）：衡水市科学技术协会（汇总）</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644.26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645.25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646.11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编制部门（单位）：衡水市科学技术协会（汇总）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645.25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644.26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467.44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科学技术普及</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467.44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机构运行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科普活动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青少年科技活动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学术交流活动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546.58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369.75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369.75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机构运行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青少年科技活动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学术交流活动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182.96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151.30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644.26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467.47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467.47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644.26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644.30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644.30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0.07</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0.03</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0.07</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644.33</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644.33</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644.33</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6"/>
        <w:gridCol w:w="3416"/>
        <w:gridCol w:w="410"/>
        <w:gridCol w:w="899"/>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742"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编制部门（单位）：衡水市科学技术协会（汇总）</w:t>
            </w:r>
          </w:p>
        </w:tc>
        <w:tc>
          <w:tcPr>
            <w:tcW w:w="1936"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4"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0"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644.30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546.19</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467.47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369.37</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467.47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369.37</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机构运行</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2060703</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青少年科技活动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2060704</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学术交流活动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182.96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151.30</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121.97</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44.25</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编制部门（单位）：衡水市科学技术协会（汇总）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435.85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36.51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143.73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71.95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55.73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37.93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509.68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编制部门（单位）：衡水市科学技术协会（汇总）</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编制部门（单位）：衡水市科学技术协会（汇总）</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1.16</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0.96</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0.96</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300"/>
        <w:jc w:val="both"/>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300"/>
        <w:jc w:val="both"/>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300"/>
        <w:jc w:val="both"/>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300"/>
        <w:jc w:val="both"/>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646.11</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135.19</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17.30</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645.25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，其中：财政拨款收入644.26万元，占99.85%；上级补助收入0万元，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0%；其他收入0.99万元，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0.15%</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644.68万元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546.58万元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占84.78%；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98.1万元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占15.22%；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年度财政拨款本年收入644.26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132.73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17.08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color w:val="auto"/>
          <w:kern w:val="2"/>
          <w:sz w:val="32"/>
          <w:szCs w:val="32"/>
          <w:lang w:val="zh-CN" w:eastAsia="zh-CN" w:bidi="ar-SA"/>
        </w:rPr>
        <w:t>；本年支出 644.3</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132.69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17.08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一般公共预算财政拨款本年收入644.26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132.73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17.08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kern w:val="2"/>
          <w:sz w:val="32"/>
          <w:szCs w:val="32"/>
          <w:lang w:val="zh-CN"/>
        </w:rPr>
        <w:t>；本年支出 644.3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132.69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17.08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%，主要是本单位无政府性基金预算；本年支出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%，主要是本</w:t>
      </w:r>
      <w:r>
        <w:rPr>
          <w:rFonts w:hint="eastAsia" w:ascii="Times New Roman" w:hAnsi="Times New Roman" w:eastAsia="仿宋_GB2312" w:cs="Times New Roman"/>
          <w:kern w:val="2"/>
          <w:sz w:val="32"/>
          <w:szCs w:val="32"/>
          <w:lang w:val="en-US" w:eastAsia="zh-CN"/>
        </w:rPr>
        <w:t>部门</w:t>
      </w:r>
      <w:r>
        <w:rPr>
          <w:rFonts w:hint="default" w:ascii="Times New Roman" w:hAnsi="Times New Roman" w:eastAsia="仿宋_GB2312" w:cs="Times New Roman"/>
          <w:kern w:val="2"/>
          <w:sz w:val="32"/>
          <w:szCs w:val="32"/>
          <w:lang w:val="zh-CN"/>
        </w:rPr>
        <w:t>无政府性基金预算。</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w:t>
      </w:r>
      <w:r>
        <w:rPr>
          <w:rFonts w:hint="default" w:ascii="Times New Roman" w:hAnsi="Times New Roman" w:eastAsia="仿宋_GB2312" w:cs="Times New Roman"/>
          <w:kern w:val="2"/>
          <w:sz w:val="32"/>
          <w:szCs w:val="32"/>
          <w:lang w:val="zh-CN"/>
        </w:rPr>
        <w:t>国有资本经营预算；本年支出0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本部门无</w:t>
      </w:r>
      <w:r>
        <w:rPr>
          <w:rFonts w:hint="default" w:ascii="Times New Roman" w:hAnsi="Times New Roman" w:eastAsia="仿宋_GB2312" w:cs="Times New Roman"/>
          <w:kern w:val="2"/>
          <w:sz w:val="32"/>
          <w:szCs w:val="32"/>
          <w:lang w:val="zh-CN"/>
        </w:rPr>
        <w:t>国有资本经营预算。</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年度财政拨款本年收入644.26万元，完成年初预算的78.73%，比年初预算减少</w:t>
      </w:r>
      <w:r>
        <w:rPr>
          <w:rFonts w:hint="eastAsia" w:ascii="Times New Roman" w:hAnsi="Times New Roman" w:eastAsia="仿宋_GB2312" w:cs="Times New Roman"/>
          <w:color w:val="auto"/>
          <w:kern w:val="2"/>
          <w:sz w:val="32"/>
          <w:szCs w:val="32"/>
          <w:lang w:val="en-US" w:eastAsia="zh-CN" w:bidi="ar-SA"/>
        </w:rPr>
        <w:t>174.03</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color w:val="auto"/>
          <w:kern w:val="2"/>
          <w:sz w:val="32"/>
          <w:szCs w:val="32"/>
          <w:lang w:val="zh-CN" w:eastAsia="zh-CN" w:bidi="ar-SA"/>
        </w:rPr>
        <w:t>；本年支出644.3万元，完成年初预算的78.74%，比年初预算减少</w:t>
      </w:r>
      <w:r>
        <w:rPr>
          <w:rFonts w:hint="eastAsia" w:ascii="Times New Roman" w:hAnsi="Times New Roman" w:eastAsia="仿宋_GB2312" w:cs="Times New Roman"/>
          <w:color w:val="auto"/>
          <w:kern w:val="2"/>
          <w:sz w:val="32"/>
          <w:szCs w:val="32"/>
          <w:lang w:val="en-US" w:eastAsia="zh-CN" w:bidi="ar-SA"/>
        </w:rPr>
        <w:t>173.99</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收入644.26万元，完成年初预算的 78.73%，比年初预算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174.03</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；本年支出644.3万元，完成年初预算的78.74%，比年初预算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173.99</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万元，主要原因是本</w:t>
      </w:r>
      <w:r>
        <w:rPr>
          <w:rFonts w:hint="eastAsia" w:ascii="Times New Roman" w:hAnsi="Times New Roman" w:eastAsia="仿宋_GB2312" w:cs="Times New Roman"/>
          <w:kern w:val="2"/>
          <w:sz w:val="32"/>
          <w:szCs w:val="32"/>
          <w:lang w:val="en-US" w:eastAsia="zh-CN"/>
        </w:rPr>
        <w:t>部门</w:t>
      </w:r>
      <w:r>
        <w:rPr>
          <w:rFonts w:hint="default" w:ascii="Times New Roman" w:hAnsi="Times New Roman" w:eastAsia="仿宋_GB2312" w:cs="Times New Roman"/>
          <w:kern w:val="2"/>
          <w:sz w:val="32"/>
          <w:szCs w:val="32"/>
          <w:lang w:val="zh-CN"/>
        </w:rPr>
        <w:t>无政府性基金预算；本年支出0万元，完成年初预算的0%，比年初预算增加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万元，主要原因是本</w:t>
      </w:r>
      <w:r>
        <w:rPr>
          <w:rFonts w:hint="eastAsia" w:ascii="Times New Roman" w:hAnsi="Times New Roman" w:eastAsia="仿宋_GB2312" w:cs="Times New Roman"/>
          <w:kern w:val="2"/>
          <w:sz w:val="32"/>
          <w:szCs w:val="32"/>
          <w:lang w:val="en-US" w:eastAsia="zh-CN"/>
        </w:rPr>
        <w:t>部门</w:t>
      </w:r>
      <w:r>
        <w:rPr>
          <w:rFonts w:hint="default" w:ascii="Times New Roman" w:hAnsi="Times New Roman" w:eastAsia="仿宋_GB2312" w:cs="Times New Roman"/>
          <w:kern w:val="2"/>
          <w:sz w:val="32"/>
          <w:szCs w:val="32"/>
          <w:lang w:val="zh-CN"/>
        </w:rPr>
        <w:t>无政府性基金预算。</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本部门无</w:t>
      </w:r>
      <w:r>
        <w:rPr>
          <w:rFonts w:hint="default" w:ascii="Times New Roman" w:hAnsi="Times New Roman" w:eastAsia="仿宋_GB2312" w:cs="Times New Roman"/>
          <w:kern w:val="2"/>
          <w:sz w:val="32"/>
          <w:szCs w:val="32"/>
          <w:lang w:val="zh-CN"/>
        </w:rPr>
        <w:t>国有资本经营预算；本年支出0万元，完成年初预算的0%，比年初预算增加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本部门无</w:t>
      </w:r>
      <w:r>
        <w:rPr>
          <w:rFonts w:hint="default" w:ascii="Times New Roman" w:hAnsi="Times New Roman" w:eastAsia="仿宋_GB2312" w:cs="Times New Roman"/>
          <w:kern w:val="2"/>
          <w:sz w:val="32"/>
          <w:szCs w:val="32"/>
          <w:lang w:val="zh-CN"/>
        </w:rPr>
        <w:t>国有资本经营预算。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年度财政拨款支出644.3万元，主要用于以下方面：</w:t>
      </w:r>
      <w:r>
        <w:rPr>
          <w:rFonts w:hint="default" w:ascii="Times New Roman" w:hAnsi="Times New Roman" w:eastAsia="仿宋_GB2312" w:cs="Times New Roman"/>
          <w:color w:val="auto"/>
          <w:kern w:val="2"/>
          <w:sz w:val="32"/>
          <w:szCs w:val="32"/>
          <w:lang w:val="zh-CN" w:eastAsia="zh-CN" w:bidi="ar-SA"/>
        </w:rPr>
        <w:t>科学技术（类）支出467.47万元，占72.55%</w:t>
      </w:r>
      <w:r>
        <w:rPr>
          <w:rFonts w:hint="eastAsia" w:ascii="Times New Roman" w:hAnsi="Times New Roman" w:eastAsia="仿宋_GB2312" w:cs="Times New Roman"/>
          <w:color w:val="auto"/>
          <w:kern w:val="2"/>
          <w:sz w:val="32"/>
          <w:szCs w:val="32"/>
          <w:lang w:val="zh-CN" w:eastAsia="zh-CN" w:bidi="ar-SA"/>
        </w:rPr>
        <w:t>，主要是科学技术普及等支出</w:t>
      </w:r>
      <w:r>
        <w:rPr>
          <w:rFonts w:hint="default" w:ascii="Times New Roman" w:hAnsi="Times New Roman" w:eastAsia="仿宋_GB2312" w:cs="Times New Roman"/>
          <w:color w:val="auto"/>
          <w:kern w:val="2"/>
          <w:sz w:val="32"/>
          <w:szCs w:val="32"/>
          <w:lang w:val="zh-CN" w:eastAsia="zh-CN" w:bidi="ar-SA"/>
        </w:rPr>
        <w:t>；社会保障和就业 （类）支出121.97万元，占18.93%</w:t>
      </w:r>
      <w:r>
        <w:rPr>
          <w:rFonts w:hint="eastAsia" w:ascii="Times New Roman" w:hAnsi="Times New Roman" w:eastAsia="仿宋_GB2312" w:cs="Times New Roman"/>
          <w:color w:val="auto"/>
          <w:kern w:val="2"/>
          <w:sz w:val="32"/>
          <w:szCs w:val="32"/>
          <w:lang w:val="zh-CN" w:eastAsia="zh-CN" w:bidi="ar-SA"/>
        </w:rPr>
        <w:t>，主要是人员保险费等</w:t>
      </w:r>
      <w:r>
        <w:rPr>
          <w:rFonts w:hint="default" w:ascii="Times New Roman" w:hAnsi="Times New Roman" w:eastAsia="仿宋_GB2312" w:cs="Times New Roman"/>
          <w:color w:val="auto"/>
          <w:kern w:val="2"/>
          <w:sz w:val="32"/>
          <w:szCs w:val="32"/>
          <w:lang w:val="zh-CN" w:eastAsia="zh-CN" w:bidi="ar-SA"/>
        </w:rPr>
        <w:t>；卫生健康（类）支出16.93万元，占2.63%</w:t>
      </w:r>
      <w:r>
        <w:rPr>
          <w:rFonts w:hint="eastAsia" w:ascii="Times New Roman" w:hAnsi="Times New Roman" w:eastAsia="仿宋_GB2312" w:cs="Times New Roman"/>
          <w:color w:val="auto"/>
          <w:kern w:val="2"/>
          <w:sz w:val="32"/>
          <w:szCs w:val="32"/>
          <w:lang w:val="zh-CN" w:eastAsia="zh-CN" w:bidi="ar-SA"/>
        </w:rPr>
        <w:t>，主要是人员保险费等</w:t>
      </w:r>
      <w:r>
        <w:rPr>
          <w:rFonts w:hint="default" w:ascii="Times New Roman" w:hAnsi="Times New Roman" w:eastAsia="仿宋_GB2312" w:cs="Times New Roman"/>
          <w:color w:val="auto"/>
          <w:kern w:val="2"/>
          <w:sz w:val="32"/>
          <w:szCs w:val="32"/>
          <w:lang w:val="zh-CN" w:eastAsia="zh-CN" w:bidi="ar-SA"/>
        </w:rPr>
        <w:t>；住房保障（类）支出37.93万元，占5.89%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主要是人员住房公积金支出。</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年度财政拨款基本支出546.19万元，其中：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509.68万元，主要包括基本工资、津贴补贴、奖金、机关事业部门基本养老保险缴费、职业年金缴费、职工基本医疗保险缴费、公务员医疗补助缴费、住房公积金、其他社会保障缴费、其他工资福利支出、离休费、 退休费、 奖励金。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公用经费36.51万元，主要包括办公费、水费、取暖费、差旅费、工会经费、福利费、公务用车运行维护费、其他交通费用。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年度“三公”经费财政拨款支出预算为1.7万元，支出决算为 1.16万元，完成预算的 68.06%，较预算减少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68.24</w:t>
      </w:r>
      <w:r>
        <w:rPr>
          <w:rFonts w:hint="default" w:ascii="Times New Roman" w:hAnsi="Times New Roman" w:eastAsia="仿宋_GB2312" w:cs="Times New Roman"/>
          <w:color w:val="auto"/>
          <w:kern w:val="2"/>
          <w:sz w:val="32"/>
          <w:szCs w:val="32"/>
          <w:lang w:val="zh-CN" w:eastAsia="zh-CN" w:bidi="ar-SA"/>
        </w:rPr>
        <w:t>%，主要是严格“三公”经费管理；较2022年度决算增加</w:t>
      </w:r>
      <w:r>
        <w:rPr>
          <w:rFonts w:hint="eastAsia" w:ascii="Times New Roman" w:hAnsi="Times New Roman" w:eastAsia="仿宋_GB2312" w:cs="Times New Roman"/>
          <w:color w:val="auto"/>
          <w:kern w:val="2"/>
          <w:sz w:val="32"/>
          <w:szCs w:val="32"/>
          <w:lang w:val="en-US" w:eastAsia="zh-CN" w:bidi="ar-SA"/>
        </w:rPr>
        <w:t>0.44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61.11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2022年受疫情影响“三公”经费支出减少。</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完成预算的100%。其中因公出国（境）团组0个、共0人、参加其他单位组织的因公出国（境）团组0个、共0人/无本单位组织的出国（境）团组。因公出国（境）费支出较预算数增加0万元，增长0%，主要是未发生因公出国（境）费用；较上年增加0万元，增长0%，主要是未发生因公出国（境）费用。与2022年度决算支出持平。</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年度公务用车购置及运行维护费预算为1.5万元，支出决算 0.96万元，完成预算的63.8%,较预算减少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严格公务用车管理</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33.33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2022年受疫情影响公务用车减少</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0万元。公务用车购置费支出较预算增加0万元，增长0%,主要是未发生公务用车购置费支出；较上年增加0万元，增长0%,主要是未发生公务用车购置费支出。与2022年度决算支出持平。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0.96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年度单位公务用车保有量1辆，发生运行维护费支出0.96万元。公车运行维护费支出较预算减少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严格公务用车管理</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33.33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2022年受疫情影响公务用车减少</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年度公务接待费支出预算为0.2万元，支出决算0.2万元，完成预算的100%。公务接待费支出较预算增加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全民科学素质领导小组公务接待活动</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2022年受疫情影响未开展公务接待</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年度机关运行经费支出32.48万元，较2022年度减少</w:t>
      </w:r>
      <w:r>
        <w:rPr>
          <w:rFonts w:hint="eastAsia" w:ascii="Times New Roman" w:hAnsi="Times New Roman" w:eastAsia="仿宋_GB2312" w:cs="Times New Roman"/>
          <w:color w:val="auto"/>
          <w:kern w:val="2"/>
          <w:sz w:val="32"/>
          <w:szCs w:val="32"/>
          <w:lang w:val="en-US" w:eastAsia="zh-CN" w:bidi="ar-SA"/>
        </w:rPr>
        <w:t>0.65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1.96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严格机关运行经费管理。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年12月31日，本部门共有车辆1辆，</w:t>
      </w:r>
      <w:r>
        <w:rPr>
          <w:rFonts w:hint="eastAsia" w:ascii="Times New Roman" w:hAnsi="Times New Roman" w:eastAsia="仿宋_GB2312" w:cs="Times New Roman"/>
          <w:color w:val="auto"/>
          <w:kern w:val="2"/>
          <w:sz w:val="32"/>
          <w:szCs w:val="32"/>
          <w:lang w:val="en-US" w:eastAsia="zh-CN" w:bidi="ar-SA"/>
        </w:rPr>
        <w:t>上年持平</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用车0辆，机要通信用车0辆，应急保障用车1辆，执法执勤用车0辆，特种专业技术用车0辆，离退休干部用车0辆，其他用车0辆。单位价值100万元（含）以上设备（不</w:t>
      </w:r>
      <w:bookmarkStart w:id="0" w:name="_GoBack"/>
      <w:bookmarkEnd w:id="0"/>
      <w:r>
        <w:rPr>
          <w:rFonts w:hint="default" w:ascii="Times New Roman" w:hAnsi="Times New Roman" w:eastAsia="仿宋_GB2312" w:cs="Times New Roman"/>
          <w:color w:val="auto"/>
          <w:kern w:val="2"/>
          <w:sz w:val="32"/>
          <w:szCs w:val="32"/>
          <w:lang w:val="zh-CN" w:eastAsia="zh-CN" w:bidi="ar-SA"/>
        </w:rPr>
        <w:t>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98.10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科普活动经费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学术交流活动费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98.10</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万元。从评价情况来看，绩效目标基本实现，科学技术普及能力整体增强，全民科学素质进一步提高，学术交流能力、学会自主创新能力有所提升，青少年科技素质、创新能力得到加强。</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zh-CN" w:eastAsia="zh-CN" w:bidi="ar-SA"/>
        </w:rPr>
        <w:t>的</w:t>
      </w:r>
      <w:r>
        <w:rPr>
          <w:rFonts w:hint="default" w:ascii="Times New Roman" w:hAnsi="Times New Roman" w:eastAsia="仿宋_GB2312" w:cs="Times New Roman"/>
          <w:color w:val="auto"/>
          <w:kern w:val="2"/>
          <w:sz w:val="32"/>
          <w:szCs w:val="32"/>
          <w:lang w:val="zh-CN" w:eastAsia="zh-CN" w:bidi="ar-SA"/>
        </w:rPr>
        <w:t>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drawing>
          <wp:anchor distT="0" distB="0" distL="114300" distR="114300" simplePos="0" relativeHeight="251667456" behindDoc="0" locked="0" layoutInCell="1" allowOverlap="1">
            <wp:simplePos x="0" y="0"/>
            <wp:positionH relativeFrom="column">
              <wp:posOffset>50165</wp:posOffset>
            </wp:positionH>
            <wp:positionV relativeFrom="paragraph">
              <wp:posOffset>2860675</wp:posOffset>
            </wp:positionV>
            <wp:extent cx="5198745" cy="2475230"/>
            <wp:effectExtent l="0" t="0" r="1905" b="1270"/>
            <wp:wrapTopAndBottom/>
            <wp:docPr id="5" name="图片 5" descr="{6259CD8C-A57C-4d4c-8F98-1BD3625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59CD8C-A57C-4d4c-8F98-1BD362580812}"/>
                    <pic:cNvPicPr>
                      <a:picLocks noChangeAspect="1"/>
                    </pic:cNvPicPr>
                  </pic:nvPicPr>
                  <pic:blipFill>
                    <a:blip r:embed="rId16"/>
                    <a:stretch>
                      <a:fillRect/>
                    </a:stretch>
                  </pic:blipFill>
                  <pic:spPr>
                    <a:xfrm>
                      <a:off x="0" y="0"/>
                      <a:ext cx="5198745" cy="2475230"/>
                    </a:xfrm>
                    <a:prstGeom prst="rect">
                      <a:avLst/>
                    </a:prstGeom>
                  </pic:spPr>
                </pic:pic>
              </a:graphicData>
            </a:graphic>
          </wp:anchor>
        </w:drawing>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w:t>
      </w:r>
      <w:r>
        <w:rPr>
          <w:rFonts w:hint="default" w:ascii="Times New Roman" w:hAnsi="Times New Roman" w:eastAsia="仿宋_GB2312" w:cs="Times New Roman"/>
          <w:color w:val="auto"/>
          <w:kern w:val="2"/>
          <w:sz w:val="32"/>
          <w:szCs w:val="32"/>
          <w:highlight w:val="none"/>
          <w:lang w:val="zh-CN" w:eastAsia="zh-CN" w:bidi="ar-SA"/>
        </w:rPr>
        <w:t>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通过项目实施，完成了年初设定的各项绩效目标，广泛组织青少年开展科技实践活动，大力弘扬新时代科学家精神，全方位打造青少年科普教育平台。未发现问题。</w:t>
      </w: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 xml:space="preserve"> 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年度部门整体绩效目标实现情况良好、完成质量较高，单位所属项目基本能按照预期计划实施完成，并获得良好的经济效益和社会效益。</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政府性基金预算财政拨款收入支出决算表（公开07表）、国有资本经营预算财政拨款支出决算表（公开08表）无收支及结转结余情况，故政府性基金预算财政拨款收入支出决算表（公开07表）、国有资本经营预算财政拨款支出决算表（公开08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27625B8-3D8A-4163-B254-97DDE0310DF8}"/>
  </w:font>
  <w:font w:name="黑体">
    <w:panose1 w:val="02010609060101010101"/>
    <w:charset w:val="86"/>
    <w:family w:val="auto"/>
    <w:pitch w:val="default"/>
    <w:sig w:usb0="800002BF" w:usb1="38CF7CFA" w:usb2="00000016" w:usb3="00000000" w:csb0="00040001" w:csb1="00000000"/>
    <w:embedRegular r:id="rId2" w:fontKey="{939F7C6C-CEF0-4663-859E-6741F9FB95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B5F5042-4EE2-4DD0-940D-BA219FF18A92}"/>
  </w:font>
  <w:font w:name="仿宋">
    <w:panose1 w:val="02010609060101010101"/>
    <w:charset w:val="86"/>
    <w:family w:val="modern"/>
    <w:pitch w:val="default"/>
    <w:sig w:usb0="800002BF" w:usb1="38CF7CFA" w:usb2="00000016" w:usb3="00000000" w:csb0="00040001" w:csb1="00000000"/>
    <w:embedRegular r:id="rId4" w:fontKey="{8702E84B-4ACD-49E5-9FE1-F58A0F4A83A1}"/>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D9D47B0-02B5-4609-B395-254D8A8EF3EA}"/>
  </w:font>
  <w:font w:name="思源黑体 CN Heavy">
    <w:altName w:val="黑体"/>
    <w:panose1 w:val="00000000000000000000"/>
    <w:charset w:val="86"/>
    <w:family w:val="swiss"/>
    <w:pitch w:val="default"/>
    <w:sig w:usb0="00000000" w:usb1="00000000" w:usb2="00000016" w:usb3="00000000" w:csb0="00060107" w:csb1="00000000"/>
    <w:embedRegular r:id="rId6" w:fontKey="{95A202DC-8BBB-45A2-BD5B-D3D2511AE05B}"/>
  </w:font>
  <w:font w:name="楷体_GB2312">
    <w:panose1 w:val="02010609030101010101"/>
    <w:charset w:val="86"/>
    <w:family w:val="auto"/>
    <w:pitch w:val="default"/>
    <w:sig w:usb0="00000000" w:usb1="00000000" w:usb2="00000000" w:usb3="00000000" w:csb0="00000000" w:csb1="00000000"/>
    <w:embedRegular r:id="rId7" w:fontKey="{E8DBA4EA-C9F7-496A-A01C-D8CE9C047F02}"/>
  </w:font>
  <w:font w:name="仿宋_GB2312">
    <w:panose1 w:val="02010609030101010101"/>
    <w:charset w:val="86"/>
    <w:family w:val="auto"/>
    <w:pitch w:val="default"/>
    <w:sig w:usb0="00000000" w:usb1="00000000" w:usb2="00000000" w:usb3="00000000" w:csb0="00000000" w:csb1="00000000"/>
    <w:embedRegular r:id="rId8" w:fontKey="{5FB2028B-CD1F-48E3-BDAB-39C29237E830}"/>
  </w:font>
  <w:font w:name="ArialUnicodeMS">
    <w:altName w:val="Malgun Gothic"/>
    <w:panose1 w:val="00000000000000000000"/>
    <w:charset w:val="81"/>
    <w:family w:val="auto"/>
    <w:pitch w:val="default"/>
    <w:sig w:usb0="00000000" w:usb1="00000000" w:usb2="00000010" w:usb3="00000000" w:csb0="00080001" w:csb1="00000000"/>
    <w:embedRegular r:id="rId9" w:fontKey="{F3857F9C-DE88-4B32-8E23-4DFE23FFCE0D}"/>
  </w:font>
  <w:font w:name="方正仿宋_GB2312">
    <w:altName w:val="仿宋"/>
    <w:panose1 w:val="02000000000000000000"/>
    <w:charset w:val="86"/>
    <w:family w:val="auto"/>
    <w:pitch w:val="default"/>
    <w:sig w:usb0="00000000" w:usb1="00000000" w:usb2="00000000" w:usb3="00000000" w:csb0="00000000" w:csb1="00000000"/>
    <w:embedRegular r:id="rId10" w:fontKey="{B8CB5E9C-10C2-482B-831D-2D66B44CB56F}"/>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AsImhkaWQiOiI1MmFiMzE4ZmE0MzY2ZmY4MDcyMzA3NGFmMTAyZWM5NyIsInVzZXJDb3VudCI6M3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872E04"/>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02D1B"/>
    <w:rsid w:val="38925A62"/>
    <w:rsid w:val="389F5F4F"/>
    <w:rsid w:val="38C36BA2"/>
    <w:rsid w:val="38F6595C"/>
    <w:rsid w:val="391702A7"/>
    <w:rsid w:val="39286EB6"/>
    <w:rsid w:val="393E08AC"/>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025BF"/>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493AD9"/>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6A142DD"/>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9F5512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D58B9"/>
    <w:rsid w:val="6DBF2759"/>
    <w:rsid w:val="6DC96F36"/>
    <w:rsid w:val="6DFA3EBF"/>
    <w:rsid w:val="6E3E63D2"/>
    <w:rsid w:val="6E5F7BE6"/>
    <w:rsid w:val="6E6918C6"/>
    <w:rsid w:val="6EEB4AC4"/>
    <w:rsid w:val="6F212DD6"/>
    <w:rsid w:val="6F3B5912"/>
    <w:rsid w:val="6FA14A81"/>
    <w:rsid w:val="6FA3261F"/>
    <w:rsid w:val="700D6539"/>
    <w:rsid w:val="701003DB"/>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DFD3210"/>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9789</Words>
  <Characters>12565</Characters>
  <Lines>86</Lines>
  <Paragraphs>24</Paragraphs>
  <TotalTime>12</TotalTime>
  <ScaleCrop>false</ScaleCrop>
  <LinksUpToDate>false</LinksUpToDate>
  <CharactersWithSpaces>13184</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2024-09-23T05:38:14Z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9CF3691EBEA8484D8FFDEC67F10E1C05_13</vt:lpwstr>
  </property>
  <property fmtid="{D5CDD505-2E9C-101B-9397-08002B2CF9AE}" pid="4" name="KSOTemplateUUID">
    <vt:lpwstr>v1.0_mb_S7ajbG3IpAnL1wSthNCxfw==</vt:lpwstr>
  </property>
</Properties>
</file>