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731001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：衡水市科学技术协会(本级)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衡水市科学技术协会</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组织全市科技工作者投身于经济建设主战场，开展学术交流，活跃学术思想，促进学科发展，推动决策科学化和民主化；普及科技知识，推广先进技术，开展青少年科学技术教育活动；开展科学论证，提出政策性建议，接受委托承担项目评估、成果鉴定、技术职务资格评审、咨询服务等项目；开展继续教育和技术培训，推广科技成果，促进科技成果向生产力转化；表彰奖励优秀科技 工作者，举荐人才，弘扬“尊重知识、尊重人才”的社会风尚，反映科技工作者的意见和要求，维护科技工作者的合法权益，为科技团体和科技工作者服务；开展国际民间科学技术交流活动和友好往来；对所属市级学会进行管理，对县(市、区) 科协进行业务指导；承担市委、市政府交办的有关事项。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671"/>
        <w:gridCol w:w="2259"/>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671"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259"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671"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衡水市科学技术协会</w:t>
            </w:r>
            <w:r>
              <w:rPr>
                <w:rFonts w:hint="eastAsia" w:ascii="仿宋_GB2312" w:hAnsi="Calibri" w:eastAsia="仿宋_GB2312" w:cs="ArialUnicodeMS"/>
                <w:kern w:val="0"/>
                <w:sz w:val="28"/>
                <w:szCs w:val="28"/>
              </w:rPr>
              <w:t>(本级)</w:t>
            </w:r>
          </w:p>
        </w:tc>
        <w:tc>
          <w:tcPr>
            <w:tcW w:w="2259" w:type="dxa"/>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参公事业单位</w:t>
            </w:r>
          </w:p>
        </w:tc>
        <w:tc>
          <w:tcPr>
            <w:tcW w:w="2665" w:type="dxa"/>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编制部门（单位）：衡水市科学技术协会(本级)</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426.21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0.99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427.20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0.86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428.05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编制部门（单位）：衡水市科学技术协会(本级)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427.20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426.21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317.13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科学技术普及</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317.13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机构运行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科普活动</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58.45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58.45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青少年科技活动</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学术交流活动</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2060799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其他科学技术普及支出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23.62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19.12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编制部门（单位）：衡水市科学技术协会(本级)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426.62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328.52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316.55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218.45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科学技术普及</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316.55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218.45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机构运行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218.45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218.45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科普活动</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青少年科技活动</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学术交流活动</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其他科学技术普及支出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编制部门（单位）：衡水市科学技术协会(本级)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426.21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316.17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316.17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19.12</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19.12</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426.21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426.24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426.24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0.07</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0.03</w:t>
            </w: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0.07</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426.27</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426.27</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426.27</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877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6"/>
        <w:gridCol w:w="3416"/>
        <w:gridCol w:w="410"/>
        <w:gridCol w:w="899"/>
        <w:gridCol w:w="1037"/>
        <w:gridCol w:w="383"/>
        <w:gridCol w:w="1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77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77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742"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编制部门（单位）：衡水市科学技术协会(本级)</w:t>
            </w:r>
          </w:p>
        </w:tc>
        <w:tc>
          <w:tcPr>
            <w:tcW w:w="1936"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094"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4440"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4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42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71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9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0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0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71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426.24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328.14</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316.17</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218.06</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科学技术普及</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316.17</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218.06</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机构运行</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218.06</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218.06</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科普活动</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58.45</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2060703</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青少年科技活动</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2060704</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学术交流活动</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2060799</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其他科学技术普及支出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31.65</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82.03</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58.41</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23.62</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19.12</w:t>
            </w:r>
          </w:p>
        </w:tc>
        <w:tc>
          <w:tcPr>
            <w:tcW w:w="171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77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编制部门（单位）：衡水市科学技术协会(本级)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237.22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32.48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82.77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2.43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58.40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43.77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23.62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8.92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19.12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58.44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54.16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13.38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295.65</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编制部门（单位）：衡水市科学技术协会(本级)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本单位本年度无相关支出情况，按要求以空表列示。</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编制部门（单位）：衡水市科学技术协会(本级)</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本单位本年度无相关支出情况，按要求以空表列示。</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编制部门（单位）：衡水市科学技术协会(本级)</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0.20</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1.16</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0.96</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0.96</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宋体" w:eastAsia="仿宋_GB2312"/>
          <w:b/>
          <w:color w:val="auto"/>
          <w:kern w:val="0"/>
          <w:sz w:val="32"/>
          <w:szCs w:val="32"/>
          <w:highlight w:val="none"/>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br w:type="page"/>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428.05</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123.72</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28.90</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基层科普行动计划上级资金减少。</w:t>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427.2</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，其中：财政拨款收入426.21万元，占99.77%；上级补助收入0万元，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0%；其他收入0.99万元，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0.23%</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426.62万元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328.52万元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占77%；</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98.1万元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占23%；</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21" w:firstLineChars="10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年度财政拨款本年收入426.21</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121.26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22.15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基层科普行动计划上级资金减少</w:t>
      </w:r>
      <w:r>
        <w:rPr>
          <w:rFonts w:hint="default" w:ascii="Times New Roman" w:hAnsi="Times New Roman" w:eastAsia="仿宋_GB2312" w:cs="Times New Roman"/>
          <w:color w:val="auto"/>
          <w:kern w:val="2"/>
          <w:sz w:val="32"/>
          <w:szCs w:val="32"/>
          <w:lang w:val="zh-CN" w:eastAsia="zh-CN" w:bidi="ar-SA"/>
        </w:rPr>
        <w:t>；本年支出 426.24</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121.26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22.15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基层科普行动计划上级资金减少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一般公共预算财政拨款本年收入426.21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121.26</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基层科普行动计划上级资金减少</w:t>
      </w:r>
      <w:r>
        <w:rPr>
          <w:rFonts w:hint="default" w:ascii="Times New Roman" w:hAnsi="Times New Roman" w:eastAsia="仿宋_GB2312" w:cs="Times New Roman"/>
          <w:kern w:val="2"/>
          <w:sz w:val="32"/>
          <w:szCs w:val="32"/>
          <w:lang w:val="zh-CN"/>
        </w:rPr>
        <w:t>；本年支出 426.24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default" w:ascii="Times New Roman" w:hAnsi="Times New Roman" w:eastAsia="仿宋_GB2312" w:cs="Times New Roman"/>
          <w:color w:val="auto"/>
          <w:kern w:val="2"/>
          <w:sz w:val="32"/>
          <w:szCs w:val="32"/>
          <w:lang w:val="zh-CN" w:eastAsia="zh-CN" w:bidi="ar-SA"/>
        </w:rPr>
        <w:t>比上年减少</w:t>
      </w:r>
      <w:r>
        <w:rPr>
          <w:rFonts w:hint="eastAsia" w:ascii="Times New Roman" w:hAnsi="Times New Roman" w:eastAsia="仿宋_GB2312" w:cs="Times New Roman"/>
          <w:color w:val="auto"/>
          <w:kern w:val="2"/>
          <w:sz w:val="32"/>
          <w:szCs w:val="32"/>
          <w:lang w:val="en-US" w:eastAsia="zh-CN" w:bidi="ar-SA"/>
        </w:rPr>
        <w:t>121.26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22.15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基层科普行动计划上级资金减少</w:t>
      </w:r>
      <w:r>
        <w:rPr>
          <w:rFonts w:hint="default" w:ascii="Times New Roman" w:hAnsi="Times New Roman" w:eastAsia="仿宋_GB2312" w:cs="Times New Roman"/>
          <w:color w:val="auto"/>
          <w:kern w:val="2"/>
          <w:sz w:val="32"/>
          <w:szCs w:val="32"/>
          <w:lang w:val="zh-CN" w:eastAsia="zh-CN" w:bidi="ar-SA"/>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%，主要是本单位无政府性基金预算；本年支出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%，主要是本单位无政府性基金预算。</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本单位无</w:t>
      </w:r>
      <w:r>
        <w:rPr>
          <w:rFonts w:hint="default" w:ascii="Times New Roman" w:hAnsi="Times New Roman" w:eastAsia="仿宋_GB2312" w:cs="Times New Roman"/>
          <w:kern w:val="2"/>
          <w:sz w:val="32"/>
          <w:szCs w:val="32"/>
          <w:lang w:val="zh-CN"/>
        </w:rPr>
        <w:t>国有资本经营预算；本年支出0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本单位无</w:t>
      </w:r>
      <w:r>
        <w:rPr>
          <w:rFonts w:hint="default" w:ascii="Times New Roman" w:hAnsi="Times New Roman" w:eastAsia="仿宋_GB2312" w:cs="Times New Roman"/>
          <w:kern w:val="2"/>
          <w:sz w:val="32"/>
          <w:szCs w:val="32"/>
          <w:lang w:val="zh-CN"/>
        </w:rPr>
        <w:t>国有资本经营预算。</w:t>
      </w:r>
    </w:p>
    <w:p>
      <w:pPr>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年度财政拨款本年收入426.21万元，完成年初预算的75.07%，比年初预算减少</w:t>
      </w:r>
      <w:r>
        <w:rPr>
          <w:rFonts w:hint="eastAsia" w:ascii="Times New Roman" w:hAnsi="Times New Roman" w:eastAsia="仿宋_GB2312" w:cs="Times New Roman"/>
          <w:color w:val="auto"/>
          <w:kern w:val="2"/>
          <w:sz w:val="32"/>
          <w:szCs w:val="32"/>
          <w:lang w:val="en-US" w:eastAsia="zh-CN" w:bidi="ar-SA"/>
        </w:rPr>
        <w:t>141.52</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kern w:val="2"/>
          <w:sz w:val="32"/>
          <w:szCs w:val="32"/>
          <w:lang w:val="en-US" w:eastAsia="zh-CN"/>
        </w:rPr>
        <w:t>基层科普行动计划上级资金年中调减</w:t>
      </w:r>
      <w:r>
        <w:rPr>
          <w:rFonts w:hint="default" w:ascii="Times New Roman" w:hAnsi="Times New Roman" w:eastAsia="仿宋_GB2312" w:cs="Times New Roman"/>
          <w:color w:val="auto"/>
          <w:kern w:val="2"/>
          <w:sz w:val="32"/>
          <w:szCs w:val="32"/>
          <w:lang w:val="zh-CN" w:eastAsia="zh-CN" w:bidi="ar-SA"/>
        </w:rPr>
        <w:t>；本年支出426.24万元，完成年初预算的75.08%，比年初预算减少</w:t>
      </w:r>
      <w:r>
        <w:rPr>
          <w:rFonts w:hint="eastAsia" w:ascii="Times New Roman" w:hAnsi="Times New Roman" w:eastAsia="仿宋_GB2312" w:cs="Times New Roman"/>
          <w:color w:val="auto"/>
          <w:kern w:val="2"/>
          <w:sz w:val="32"/>
          <w:szCs w:val="32"/>
          <w:lang w:val="en-US" w:eastAsia="zh-CN" w:bidi="ar-SA"/>
        </w:rPr>
        <w:t>141.49</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en-US" w:eastAsia="zh-CN"/>
        </w:rPr>
        <w:t>基层科普行动计划上级资金年中调减</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收入426.21万元，完成年初预算的 75.07%，比年初预算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141.52</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基层科普行动计划上级资金年中调减</w:t>
      </w:r>
      <w:r>
        <w:rPr>
          <w:rFonts w:hint="default" w:ascii="Times New Roman" w:hAnsi="Times New Roman" w:eastAsia="仿宋_GB2312" w:cs="Times New Roman"/>
          <w:kern w:val="2"/>
          <w:sz w:val="32"/>
          <w:szCs w:val="32"/>
          <w:lang w:val="zh-CN"/>
        </w:rPr>
        <w:t>；本年支出426.24万元，完成年初预算的75.08%，比年初预算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141.49</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基层科普行动计划上级资金年中调减</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万元，主要原因是本单位无政府性基金预算；本年支出0万元，完成年初预算的0%，比年初预算增加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万元，主要原因是本单位无政府性基金预算。</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本单位无</w:t>
      </w:r>
      <w:r>
        <w:rPr>
          <w:rFonts w:hint="default" w:ascii="Times New Roman" w:hAnsi="Times New Roman" w:eastAsia="仿宋_GB2312" w:cs="Times New Roman"/>
          <w:kern w:val="2"/>
          <w:sz w:val="32"/>
          <w:szCs w:val="32"/>
          <w:lang w:val="zh-CN"/>
        </w:rPr>
        <w:t>国有资本经营预算；本年支出0万元，完成年初预算的0%，比年初预算增加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本单位无</w:t>
      </w:r>
      <w:r>
        <w:rPr>
          <w:rFonts w:hint="default" w:ascii="Times New Roman" w:hAnsi="Times New Roman" w:eastAsia="仿宋_GB2312" w:cs="Times New Roman"/>
          <w:kern w:val="2"/>
          <w:sz w:val="32"/>
          <w:szCs w:val="32"/>
          <w:lang w:val="zh-CN"/>
        </w:rPr>
        <w:t>国有资本经营预算。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年度财政拨款支出426.24万元，主要用于以下方面：</w:t>
      </w:r>
      <w:r>
        <w:rPr>
          <w:rFonts w:hint="default" w:ascii="Times New Roman" w:hAnsi="Times New Roman" w:eastAsia="仿宋_GB2312" w:cs="Times New Roman"/>
          <w:color w:val="auto"/>
          <w:kern w:val="2"/>
          <w:sz w:val="32"/>
          <w:szCs w:val="32"/>
          <w:lang w:val="zh-CN" w:eastAsia="zh-CN" w:bidi="ar-SA"/>
        </w:rPr>
        <w:t>科学技术（类）支出316.17万元，占74.18%</w:t>
      </w:r>
      <w:r>
        <w:rPr>
          <w:rFonts w:hint="eastAsia" w:ascii="Times New Roman" w:hAnsi="Times New Roman" w:eastAsia="仿宋_GB2312" w:cs="Times New Roman"/>
          <w:color w:val="auto"/>
          <w:kern w:val="2"/>
          <w:sz w:val="32"/>
          <w:szCs w:val="32"/>
          <w:lang w:val="zh-CN" w:eastAsia="zh-CN" w:bidi="ar-SA"/>
        </w:rPr>
        <w:t>，主要是科学技术普及等支出</w:t>
      </w:r>
      <w:r>
        <w:rPr>
          <w:rFonts w:hint="default" w:ascii="Times New Roman" w:hAnsi="Times New Roman" w:eastAsia="仿宋_GB2312" w:cs="Times New Roman"/>
          <w:color w:val="auto"/>
          <w:kern w:val="2"/>
          <w:sz w:val="32"/>
          <w:szCs w:val="32"/>
          <w:lang w:val="zh-CN" w:eastAsia="zh-CN" w:bidi="ar-SA"/>
        </w:rPr>
        <w:t>；社会保障和就业 （类）支出82.03万元，占19.25%</w:t>
      </w:r>
      <w:r>
        <w:rPr>
          <w:rFonts w:hint="eastAsia" w:ascii="Times New Roman" w:hAnsi="Times New Roman" w:eastAsia="仿宋_GB2312" w:cs="Times New Roman"/>
          <w:color w:val="auto"/>
          <w:kern w:val="2"/>
          <w:sz w:val="32"/>
          <w:szCs w:val="32"/>
          <w:lang w:val="zh-CN" w:eastAsia="zh-CN" w:bidi="ar-SA"/>
        </w:rPr>
        <w:t>，主要是人员保险费等</w:t>
      </w:r>
      <w:r>
        <w:rPr>
          <w:rFonts w:hint="default" w:ascii="Times New Roman" w:hAnsi="Times New Roman" w:eastAsia="仿宋_GB2312" w:cs="Times New Roman"/>
          <w:color w:val="auto"/>
          <w:kern w:val="2"/>
          <w:sz w:val="32"/>
          <w:szCs w:val="32"/>
          <w:lang w:val="zh-CN" w:eastAsia="zh-CN" w:bidi="ar-SA"/>
        </w:rPr>
        <w:t>；卫生健康（类）支出8.92万元，占2.09%</w:t>
      </w:r>
      <w:r>
        <w:rPr>
          <w:rFonts w:hint="eastAsia" w:ascii="Times New Roman" w:hAnsi="Times New Roman" w:eastAsia="仿宋_GB2312" w:cs="Times New Roman"/>
          <w:color w:val="auto"/>
          <w:kern w:val="2"/>
          <w:sz w:val="32"/>
          <w:szCs w:val="32"/>
          <w:lang w:val="zh-CN" w:eastAsia="zh-CN" w:bidi="ar-SA"/>
        </w:rPr>
        <w:t>，</w:t>
      </w:r>
      <w:r>
        <w:rPr>
          <w:rFonts w:ascii="仿宋_GB2312" w:hAnsi="仿宋_GB2312" w:eastAsia="仿宋_GB2312" w:cs="仿宋_GB2312"/>
          <w:sz w:val="33"/>
          <w:szCs w:val="33"/>
        </w:rPr>
        <w:t>主要是</w:t>
      </w:r>
      <w:r>
        <w:rPr>
          <w:rFonts w:hint="eastAsia" w:ascii="仿宋_GB2312" w:hAnsi="仿宋_GB2312" w:eastAsia="仿宋_GB2312" w:cs="仿宋_GB2312"/>
          <w:sz w:val="33"/>
          <w:szCs w:val="33"/>
          <w:lang w:val="en-US" w:eastAsia="zh-CN"/>
        </w:rPr>
        <w:t>人员保险费等</w:t>
      </w:r>
      <w:r>
        <w:rPr>
          <w:rFonts w:hint="default" w:ascii="Times New Roman" w:hAnsi="Times New Roman" w:eastAsia="仿宋_GB2312" w:cs="Times New Roman"/>
          <w:color w:val="auto"/>
          <w:kern w:val="2"/>
          <w:sz w:val="32"/>
          <w:szCs w:val="32"/>
          <w:lang w:val="zh-CN" w:eastAsia="zh-CN" w:bidi="ar-SA"/>
        </w:rPr>
        <w:t>；住房保障（类）支出19.12万元，占4.49%</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主要是人员住房公积金支出。</w:t>
      </w:r>
    </w:p>
    <w:p>
      <w:pPr>
        <w:pStyle w:val="10"/>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outlineLvl w:val="2"/>
        <w:rPr>
          <w:rFonts w:hint="default" w:ascii="Times New Roman" w:hAnsi="Times New Roman" w:eastAsia="楷体_GB2312" w:cs="Times New Roman"/>
          <w:b/>
          <w:bCs/>
          <w:kern w:val="2"/>
          <w:sz w:val="32"/>
          <w:szCs w:val="32"/>
          <w:lang w:val="en-US" w:eastAsia="zh-CN" w:bidi="ar-SA"/>
        </w:rPr>
      </w:pPr>
      <w:r>
        <w:rPr>
          <w:rFonts w:hint="eastAsia" w:ascii="Times New Roman" w:hAnsi="Times New Roman" w:eastAsia="楷体_GB2312" w:cs="Times New Roman"/>
          <w:b/>
          <w:bCs/>
          <w:kern w:val="2"/>
          <w:sz w:val="32"/>
          <w:szCs w:val="32"/>
          <w:lang w:val="en-US" w:eastAsia="zh-CN" w:bidi="ar-SA"/>
        </w:rPr>
        <w:t xml:space="preserve">     （四）</w:t>
      </w: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年度财政拨款基本支出328.14万元，其中：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295.65万元，主要包括基本工资、津贴补贴、奖金、机关事业部门基本养老保险缴费、职业年金缴费、职工基本医疗保险缴费、公务员医疗补助缴费、住房公积金、其他社会保障缴费、其他工资福利支出、离休费、 退休费、 奖励金。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公用经费32.48万元，主要包括办公费、水费、取暖费、差旅费、工会经费、福利费、公务用车运行维护费、其他交通费用。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年度“三公”经费财政拨款支出预算为1.7万元，支出决算为 1.16万元，完成预算的 68.06%，较预算减少</w:t>
      </w:r>
      <w:r>
        <w:rPr>
          <w:rFonts w:hint="eastAsia" w:ascii="Times New Roman" w:hAnsi="Times New Roman" w:eastAsia="仿宋_GB2312" w:cs="Times New Roman"/>
          <w:color w:val="auto"/>
          <w:kern w:val="2"/>
          <w:sz w:val="32"/>
          <w:szCs w:val="32"/>
          <w:lang w:val="en-US" w:eastAsia="zh-CN" w:bidi="ar-SA"/>
        </w:rPr>
        <w:t>0.54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68.24</w:t>
      </w:r>
      <w:r>
        <w:rPr>
          <w:rFonts w:hint="default" w:ascii="Times New Roman" w:hAnsi="Times New Roman" w:eastAsia="仿宋_GB2312" w:cs="Times New Roman"/>
          <w:color w:val="auto"/>
          <w:kern w:val="2"/>
          <w:sz w:val="32"/>
          <w:szCs w:val="32"/>
          <w:lang w:val="zh-CN" w:eastAsia="zh-CN" w:bidi="ar-SA"/>
        </w:rPr>
        <w:t>%，主要是严格“三公”经费管理；较2022年度决算增加</w:t>
      </w:r>
      <w:r>
        <w:rPr>
          <w:rFonts w:hint="eastAsia" w:ascii="Times New Roman" w:hAnsi="Times New Roman" w:eastAsia="仿宋_GB2312" w:cs="Times New Roman"/>
          <w:color w:val="auto"/>
          <w:kern w:val="2"/>
          <w:sz w:val="32"/>
          <w:szCs w:val="32"/>
          <w:lang w:val="en-US" w:eastAsia="zh-CN" w:bidi="ar-SA"/>
        </w:rPr>
        <w:t>0.44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61.11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2022年受疫情影响“三公”经费支出减少。</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完成预算的100%。其中因公出国（境）团组0个、共0人、参加其他单位组织的因公出国（境）团组0个、共0人/无本单位组织的出国（境）团组。因公出国（境）费支出较预算数增加0万元，增长0%，主要是未发生因公出国（境）费用；较上年增加0万元，增长0%，主要是未发生因公出国（境）费用。与2022年度决算支出持平。</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年度公务用车购置及运行维护费预算为1.5万元，支出决算 0.96万元，完成预算的63.8%,较预算减少</w:t>
      </w:r>
      <w:r>
        <w:rPr>
          <w:rFonts w:hint="eastAsia" w:ascii="Times New Roman" w:hAnsi="Times New Roman" w:eastAsia="仿宋_GB2312" w:cs="Times New Roman"/>
          <w:color w:val="auto"/>
          <w:kern w:val="2"/>
          <w:sz w:val="32"/>
          <w:szCs w:val="32"/>
          <w:lang w:val="en-US" w:eastAsia="zh-CN" w:bidi="ar-SA"/>
        </w:rPr>
        <w:t>0.54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严格公务用车管理</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0.24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33.33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2022年受疫情影响公务用车减少</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0万元。公务用车购置费支出较预算增加0万元，增长0%,主要是未发生公务用车购置费支出；较上年增加0万元，增长0%,主要是未发生公务用车购置费支出。与2022年度决算支出持平。</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0.96</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年度单位公务用车保有量1辆，发生运行维护费支出0.96万元。公车运行维护费支出较预算减少</w:t>
      </w:r>
      <w:r>
        <w:rPr>
          <w:rFonts w:hint="eastAsia" w:ascii="Times New Roman" w:hAnsi="Times New Roman" w:eastAsia="仿宋_GB2312" w:cs="Times New Roman"/>
          <w:color w:val="auto"/>
          <w:kern w:val="2"/>
          <w:sz w:val="32"/>
          <w:szCs w:val="32"/>
          <w:lang w:val="en-US" w:eastAsia="zh-CN" w:bidi="ar-SA"/>
        </w:rPr>
        <w:t>0.54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严格公务用车管理</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0.24</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33.33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2022年受疫情影响公务用车减少</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年度公务接待费支出预算为0.2万元，支出决算0.2万元，完成预算的100%。公务接待费支出较预算增加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全民科学素质领导小组公务接待活动</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0.2</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2022年受疫情影响未开展公务接待</w:t>
      </w:r>
      <w:r>
        <w:rPr>
          <w:rFonts w:hint="default" w:ascii="Times New Roman" w:hAnsi="Times New Roman" w:eastAsia="仿宋_GB2312" w:cs="Times New Roman"/>
          <w:color w:val="auto"/>
          <w:kern w:val="2"/>
          <w:sz w:val="32"/>
          <w:szCs w:val="32"/>
          <w:lang w:val="zh-CN" w:eastAsia="zh-CN" w:bidi="ar-SA"/>
        </w:rPr>
        <w:t>。本年度共发生</w:t>
      </w:r>
      <w:bookmarkStart w:id="0" w:name="_GoBack"/>
      <w:bookmarkEnd w:id="0"/>
      <w:r>
        <w:rPr>
          <w:rFonts w:hint="default" w:ascii="Times New Roman" w:hAnsi="Times New Roman" w:eastAsia="仿宋_GB2312" w:cs="Times New Roman"/>
          <w:color w:val="auto"/>
          <w:kern w:val="2"/>
          <w:sz w:val="32"/>
          <w:szCs w:val="32"/>
          <w:lang w:val="zh-CN" w:eastAsia="zh-CN" w:bidi="ar-SA"/>
        </w:rPr>
        <w:t>公务接待</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33</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年度机关运行经费支出32.48万元，较2022年度减少</w:t>
      </w:r>
      <w:r>
        <w:rPr>
          <w:rFonts w:hint="eastAsia" w:ascii="Times New Roman" w:hAnsi="Times New Roman" w:eastAsia="仿宋_GB2312" w:cs="Times New Roman"/>
          <w:color w:val="auto"/>
          <w:kern w:val="2"/>
          <w:sz w:val="32"/>
          <w:szCs w:val="32"/>
          <w:lang w:val="en-US" w:eastAsia="zh-CN" w:bidi="ar-SA"/>
        </w:rPr>
        <w:t>0.65</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1.96</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严格机关运行经费管理。</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年12月31日，本单位共有车辆1辆，</w:t>
      </w:r>
      <w:r>
        <w:rPr>
          <w:rFonts w:hint="eastAsia" w:ascii="Times New Roman" w:hAnsi="Times New Roman" w:eastAsia="仿宋_GB2312" w:cs="Times New Roman"/>
          <w:color w:val="auto"/>
          <w:kern w:val="2"/>
          <w:sz w:val="32"/>
          <w:szCs w:val="32"/>
          <w:lang w:val="en-US" w:eastAsia="zh-CN" w:bidi="ar-SA"/>
        </w:rPr>
        <w:t>与上年持平</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用车0辆，机要通信用车0辆，应急保障用车1辆，执法执勤用车0辆，特种专业技术用车0辆，离退休干部用车0辆，其他用车0辆。单位价值100万元（含）以上设备（不含车辆）0台（套）。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98.10</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个国有资本经营预算项目支出开展绩效自评，共涉及资金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万元，占国有资本经营预算项目支出总额的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科普活动经费</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学术交流活动费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98.10</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万元。从评价情况来看，绩效目标基本实现，科学技术普及能力整体增强，全民科学素质进一步提高，学术交流能力、学会自主创新能力有所提升，青少年科技素质、创新能力得到加强。</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w:t>
      </w:r>
      <w:r>
        <w:rPr>
          <w:rFonts w:hint="eastAsia" w:ascii="Times New Roman" w:hAnsi="Times New Roman" w:eastAsia="仿宋_GB2312" w:cs="Times New Roman"/>
          <w:color w:val="auto"/>
          <w:kern w:val="2"/>
          <w:sz w:val="32"/>
          <w:szCs w:val="32"/>
          <w:lang w:val="en-US" w:eastAsia="zh-CN" w:bidi="ar-SA"/>
        </w:rPr>
        <w:t>青少年科技活动经费</w:t>
      </w:r>
      <w:r>
        <w:rPr>
          <w:rFonts w:hint="default" w:ascii="Times New Roman" w:hAnsi="Times New Roman" w:eastAsia="仿宋_GB2312" w:cs="Times New Roman"/>
          <w:color w:val="auto"/>
          <w:kern w:val="2"/>
          <w:sz w:val="32"/>
          <w:szCs w:val="32"/>
          <w:lang w:val="zh-CN" w:eastAsia="zh-CN" w:bidi="ar-SA"/>
        </w:rPr>
        <w:t>项目</w:t>
      </w:r>
      <w:r>
        <w:rPr>
          <w:rFonts w:hint="eastAsia" w:ascii="Times New Roman" w:hAnsi="Times New Roman" w:eastAsia="仿宋_GB2312" w:cs="Times New Roman"/>
          <w:color w:val="auto"/>
          <w:kern w:val="2"/>
          <w:sz w:val="32"/>
          <w:szCs w:val="32"/>
          <w:lang w:val="zh-CN" w:eastAsia="zh-CN" w:bidi="ar-SA"/>
        </w:rPr>
        <w:t>的</w:t>
      </w:r>
      <w:r>
        <w:rPr>
          <w:rFonts w:hint="default" w:ascii="Times New Roman" w:hAnsi="Times New Roman" w:eastAsia="仿宋_GB2312" w:cs="Times New Roman"/>
          <w:color w:val="auto"/>
          <w:kern w:val="2"/>
          <w:sz w:val="32"/>
          <w:szCs w:val="32"/>
          <w:lang w:val="zh-CN" w:eastAsia="zh-CN" w:bidi="ar-SA"/>
        </w:rPr>
        <w:t>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3" w:firstLineChars="200"/>
        <w:jc w:val="lef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drawing>
          <wp:anchor distT="0" distB="0" distL="114300" distR="114300" simplePos="0" relativeHeight="251667456" behindDoc="0" locked="0" layoutInCell="1" allowOverlap="1">
            <wp:simplePos x="0" y="0"/>
            <wp:positionH relativeFrom="column">
              <wp:posOffset>50165</wp:posOffset>
            </wp:positionH>
            <wp:positionV relativeFrom="paragraph">
              <wp:posOffset>2860675</wp:posOffset>
            </wp:positionV>
            <wp:extent cx="5198745" cy="2475230"/>
            <wp:effectExtent l="0" t="0" r="1905" b="1270"/>
            <wp:wrapTopAndBottom/>
            <wp:docPr id="5" name="图片 5" descr="{6259CD8C-A57C-4d4c-8F98-1BD36258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59CD8C-A57C-4d4c-8F98-1BD362580812}"/>
                    <pic:cNvPicPr>
                      <a:picLocks noChangeAspect="1"/>
                    </pic:cNvPicPr>
                  </pic:nvPicPr>
                  <pic:blipFill>
                    <a:blip r:embed="rId16"/>
                    <a:stretch>
                      <a:fillRect/>
                    </a:stretch>
                  </pic:blipFill>
                  <pic:spPr>
                    <a:xfrm>
                      <a:off x="0" y="0"/>
                      <a:ext cx="5198745" cy="2475230"/>
                    </a:xfrm>
                    <a:prstGeom prst="rect">
                      <a:avLst/>
                    </a:prstGeom>
                  </pic:spPr>
                </pic:pic>
              </a:graphicData>
            </a:graphic>
          </wp:anchor>
        </w:drawing>
      </w:r>
      <w:r>
        <w:rPr>
          <w:rFonts w:hint="eastAsia" w:ascii="Times New Roman" w:hAnsi="Times New Roman" w:eastAsia="仿宋_GB2312" w:cs="Times New Roman"/>
          <w:color w:val="auto"/>
          <w:kern w:val="2"/>
          <w:sz w:val="32"/>
          <w:szCs w:val="32"/>
          <w:lang w:val="en-US" w:eastAsia="zh-CN" w:bidi="ar-SA"/>
        </w:rPr>
        <w:t>青少年科技活动经费</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en-US" w:eastAsia="zh-CN" w:bidi="ar-SA"/>
        </w:rPr>
        <w:t>青少年科技活动经费</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w:t>
      </w:r>
      <w:r>
        <w:rPr>
          <w:rFonts w:hint="default" w:ascii="Times New Roman" w:hAnsi="Times New Roman" w:eastAsia="仿宋_GB2312" w:cs="Times New Roman"/>
          <w:color w:val="auto"/>
          <w:kern w:val="2"/>
          <w:sz w:val="32"/>
          <w:szCs w:val="32"/>
          <w:highlight w:val="none"/>
          <w:lang w:val="zh-CN" w:eastAsia="zh-CN" w:bidi="ar-SA"/>
        </w:rPr>
        <w:t>标完成情况：</w:t>
      </w:r>
      <w:r>
        <w:rPr>
          <w:rFonts w:hint="default" w:ascii="Times New Roman" w:hAnsi="Times New Roman" w:eastAsia="仿宋_GB2312" w:cs="Times New Roman"/>
          <w:color w:val="auto"/>
          <w:kern w:val="0"/>
          <w:sz w:val="32"/>
          <w:szCs w:val="32"/>
          <w:highlight w:val="none"/>
          <w:lang w:val="en-US" w:eastAsia="zh-CN" w:bidi="ar-SA"/>
        </w:rPr>
        <w:t>通过项目实施，完成了年初设定的各项绩效目标，广泛组织青少年开展科技实践活动，大力弘扬新时代科学家精神，全方位打造青少年科普教育平台。未发现问题。</w:t>
      </w: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color w:val="auto"/>
          <w:kern w:val="2"/>
          <w:sz w:val="32"/>
          <w:szCs w:val="32"/>
          <w:lang w:val="zh-CN" w:eastAsia="zh-CN" w:bidi="ar-SA"/>
        </w:rPr>
        <w:t>本单位 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年度部门整体绩效目标实现情况良好、完成质量较高，单位所属项目基本能按照预期计划实施完成，并获得良好的经济效益和社会效益。</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w:t>
      </w:r>
      <w:r>
        <w:rPr>
          <w:rFonts w:hint="eastAsia" w:ascii="Times New Roman" w:hAnsi="Times New Roman" w:eastAsia="仿宋_GB2312" w:cs="Times New Roman"/>
          <w:sz w:val="32"/>
          <w:szCs w:val="32"/>
          <w:lang w:val="en-US" w:eastAsia="zh-CN"/>
        </w:rPr>
        <w:t>单位</w:t>
      </w:r>
      <w:r>
        <w:rPr>
          <w:rFonts w:hint="default" w:ascii="Times New Roman" w:hAnsi="Times New Roman" w:eastAsia="仿宋_GB2312" w:cs="Times New Roman"/>
          <w:sz w:val="32"/>
          <w:szCs w:val="32"/>
        </w:rPr>
        <w:t>2023年度政府性基金预算财政拨款收入支出决算表（公开07表）、国有资本经营预算财政拨款支出决算表（公开08表）无收支及结转结余情况，故政府性基金预算财政拨款收入支出决算表（公开07表）、国有资本经营预算财政拨款支出决算表（公开08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E2079BE-557E-4ED5-B4B8-C75C7BC8FB2B}"/>
  </w:font>
  <w:font w:name="黑体">
    <w:panose1 w:val="02010609060101010101"/>
    <w:charset w:val="86"/>
    <w:family w:val="auto"/>
    <w:pitch w:val="default"/>
    <w:sig w:usb0="800002BF" w:usb1="38CF7CFA" w:usb2="00000016" w:usb3="00000000" w:csb0="00040001" w:csb1="00000000"/>
    <w:embedRegular r:id="rId2" w:fontKey="{B5CD4E7E-C627-4F37-BBF0-E009D2B17D2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8173141A-44A5-483F-8AEC-F66346655911}"/>
  </w:font>
  <w:font w:name="仿宋">
    <w:panose1 w:val="02010609060101010101"/>
    <w:charset w:val="86"/>
    <w:family w:val="modern"/>
    <w:pitch w:val="default"/>
    <w:sig w:usb0="800002BF" w:usb1="38CF7CFA" w:usb2="00000016" w:usb3="00000000" w:csb0="00040001" w:csb1="00000000"/>
    <w:embedRegular r:id="rId4" w:fontKey="{8295FBC6-B231-4CEF-8650-026F96141B95}"/>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941C9897-7ABD-4FAB-9B1F-9513EB938CCD}"/>
  </w:font>
  <w:font w:name="思源黑体 CN Heavy">
    <w:altName w:val="黑体"/>
    <w:panose1 w:val="00000000000000000000"/>
    <w:charset w:val="86"/>
    <w:family w:val="swiss"/>
    <w:pitch w:val="default"/>
    <w:sig w:usb0="00000000" w:usb1="00000000" w:usb2="00000016" w:usb3="00000000" w:csb0="00060107" w:csb1="00000000"/>
    <w:embedRegular r:id="rId6" w:fontKey="{2A8310BF-B9DC-4F3E-8C5D-8DAEAD4B3C92}"/>
  </w:font>
  <w:font w:name="楷体_GB2312">
    <w:panose1 w:val="02010609030101010101"/>
    <w:charset w:val="86"/>
    <w:family w:val="auto"/>
    <w:pitch w:val="default"/>
    <w:sig w:usb0="00000000" w:usb1="00000000" w:usb2="00000000" w:usb3="00000000" w:csb0="00000000" w:csb1="00000000"/>
    <w:embedRegular r:id="rId7" w:fontKey="{DAB41A36-7D81-4B10-A1E2-BFFBCD542F49}"/>
  </w:font>
  <w:font w:name="仿宋_GB2312">
    <w:panose1 w:val="02010609030101010101"/>
    <w:charset w:val="86"/>
    <w:family w:val="auto"/>
    <w:pitch w:val="default"/>
    <w:sig w:usb0="00000000" w:usb1="00000000" w:usb2="00000000" w:usb3="00000000" w:csb0="00000000" w:csb1="00000000"/>
    <w:embedRegular r:id="rId8" w:fontKey="{DC9F0963-4D8E-4A62-8A93-EAAD39CCD9F1}"/>
  </w:font>
  <w:font w:name="ArialUnicodeMS">
    <w:altName w:val="Malgun Gothic"/>
    <w:panose1 w:val="00000000000000000000"/>
    <w:charset w:val="81"/>
    <w:family w:val="auto"/>
    <w:pitch w:val="default"/>
    <w:sig w:usb0="00000000" w:usb1="00000000" w:usb2="00000010" w:usb3="00000000" w:csb0="00080001" w:csb1="00000000"/>
    <w:embedRegular r:id="rId9" w:fontKey="{89BCD868-0EEE-4868-A080-BC20F5947AF3}"/>
  </w:font>
  <w:font w:name="方正仿宋_GB2312">
    <w:altName w:val="仿宋"/>
    <w:panose1 w:val="02000000000000000000"/>
    <w:charset w:val="86"/>
    <w:family w:val="auto"/>
    <w:pitch w:val="default"/>
    <w:sig w:usb0="00000000" w:usb1="00000000" w:usb2="00000000" w:usb3="00000000" w:csb0="00000000" w:csb1="00000000"/>
    <w:embedRegular r:id="rId10" w:fontKey="{29BB9931-9860-4AE3-8AEC-E25BDE459604}"/>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UsImhkaWQiOiI1MmFiMzE4ZmE0MzY2ZmY4MDcyMzA3NGFmMTAyZWM5NyIsInVzZXJDb3VudCI6N3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7B12D4"/>
    <w:rsid w:val="03804D63"/>
    <w:rsid w:val="03FB73B0"/>
    <w:rsid w:val="049C1B9D"/>
    <w:rsid w:val="04BD008C"/>
    <w:rsid w:val="04C55939"/>
    <w:rsid w:val="04DA28BB"/>
    <w:rsid w:val="04F528BE"/>
    <w:rsid w:val="050E10CE"/>
    <w:rsid w:val="054F2DFB"/>
    <w:rsid w:val="05991C82"/>
    <w:rsid w:val="061416A9"/>
    <w:rsid w:val="061D60A6"/>
    <w:rsid w:val="06236884"/>
    <w:rsid w:val="06895FC8"/>
    <w:rsid w:val="06B07006"/>
    <w:rsid w:val="06FC7C2A"/>
    <w:rsid w:val="07533AFE"/>
    <w:rsid w:val="07B3657A"/>
    <w:rsid w:val="07C857D0"/>
    <w:rsid w:val="08AB5AAF"/>
    <w:rsid w:val="09012C64"/>
    <w:rsid w:val="093B2E99"/>
    <w:rsid w:val="0955758F"/>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0FEE4A95"/>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9D1F9E"/>
    <w:rsid w:val="15CF053D"/>
    <w:rsid w:val="15E0131A"/>
    <w:rsid w:val="16457D9F"/>
    <w:rsid w:val="16815D61"/>
    <w:rsid w:val="17223EFF"/>
    <w:rsid w:val="17AA5F28"/>
    <w:rsid w:val="17B713F6"/>
    <w:rsid w:val="184350A0"/>
    <w:rsid w:val="18935485"/>
    <w:rsid w:val="18A34206"/>
    <w:rsid w:val="18DE3B2C"/>
    <w:rsid w:val="1906685D"/>
    <w:rsid w:val="19111683"/>
    <w:rsid w:val="19353916"/>
    <w:rsid w:val="193E101D"/>
    <w:rsid w:val="19C10AF1"/>
    <w:rsid w:val="1A017CDA"/>
    <w:rsid w:val="1A2672DE"/>
    <w:rsid w:val="1A4B1977"/>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D0D93"/>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CB1E0F"/>
    <w:rsid w:val="28EA3248"/>
    <w:rsid w:val="28F879DA"/>
    <w:rsid w:val="294B7731"/>
    <w:rsid w:val="29514455"/>
    <w:rsid w:val="29D21FF2"/>
    <w:rsid w:val="29EC25A6"/>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071E68"/>
    <w:rsid w:val="49677E31"/>
    <w:rsid w:val="496C2225"/>
    <w:rsid w:val="49AE2880"/>
    <w:rsid w:val="49F42EAF"/>
    <w:rsid w:val="4A337323"/>
    <w:rsid w:val="4A5B28DC"/>
    <w:rsid w:val="4AA06B93"/>
    <w:rsid w:val="4AC00E34"/>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3D1AFA"/>
    <w:rsid w:val="5C780646"/>
    <w:rsid w:val="5C8E5C5A"/>
    <w:rsid w:val="5C965E61"/>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B572F3"/>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DE4F19"/>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2A39E4"/>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35</Pages>
  <Words>9616</Words>
  <Characters>12225</Characters>
  <Lines>86</Lines>
  <Paragraphs>24</Paragraphs>
  <TotalTime>21</TotalTime>
  <ScaleCrop>false</ScaleCrop>
  <LinksUpToDate>false</LinksUpToDate>
  <CharactersWithSpaces>12845</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2024-09-23T05:46:05Z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F4663AB0406B4D76B7BFC6490A3C87CD_13</vt:lpwstr>
  </property>
  <property fmtid="{D5CDD505-2E9C-101B-9397-08002B2CF9AE}" pid="4" name="KSOTemplateUUID">
    <vt:lpwstr>v1.0_mb_S7ajbG3IpAnL1wSthNCxfw==</vt:lpwstr>
  </property>
</Properties>
</file>