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media/image1.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left"/>
      </w:pPr>
      <w:r>
        <w:drawing>
          <wp:anchor distT="0" distB="0" distL="114300" distR="114300" simplePos="0" relativeHeight="251665408" behindDoc="0" locked="0" layoutInCell="1" allowOverlap="1">
            <wp:simplePos x="0" y="0"/>
            <wp:positionH relativeFrom="column">
              <wp:posOffset>-406400</wp:posOffset>
            </wp:positionH>
            <wp:positionV relativeFrom="paragraph">
              <wp:posOffset>2153920</wp:posOffset>
            </wp:positionV>
            <wp:extent cx="2159000" cy="1310640"/>
            <wp:effectExtent l="0" t="0" r="12700" b="3810"/>
            <wp:wrapNone/>
            <wp:docPr id="12" name="https://photo-static-api.fotomore.com/creative/vcg/400/new/VCG211393708916.jpg" descr="templates\picture_hover\&amp;pky00203123560_sjzg_VCG211393708916&amp;2&amp;src_toppic_droprecen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ttps://photo-static-api.fotomore.com/creative/vcg/400/new/VCG211393708916.jpg" descr="templates\picture_hover\&amp;pky00203123560_sjzg_VCG211393708916&amp;2&amp;src_toppic_droprecent&amp;"/>
                    <pic:cNvPicPr>
                      <a:picLocks noChangeAspect="1"/>
                    </pic:cNvPicPr>
                  </pic:nvPicPr>
                  <pic:blipFill>
                    <a:blip r:embed="rId9"/>
                    <a:stretch>
                      <a:fillRect/>
                    </a:stretch>
                  </pic:blipFill>
                  <pic:spPr>
                    <a:xfrm>
                      <a:off x="0" y="0"/>
                      <a:ext cx="2159000" cy="1310640"/>
                    </a:xfrm>
                    <a:prstGeom prst="rect">
                      <a:avLst/>
                    </a:prstGeom>
                  </pic:spPr>
                </pic:pic>
              </a:graphicData>
            </a:graphic>
          </wp:anchor>
        </w:drawing>
      </w:r>
      <w:r>
        <w:drawing>
          <wp:anchor distT="0" distB="0" distL="114300" distR="114300" simplePos="0" relativeHeight="251666432" behindDoc="0" locked="0" layoutInCell="1" allowOverlap="1">
            <wp:simplePos x="0" y="0"/>
            <wp:positionH relativeFrom="column">
              <wp:posOffset>1800860</wp:posOffset>
            </wp:positionH>
            <wp:positionV relativeFrom="paragraph">
              <wp:posOffset>2153920</wp:posOffset>
            </wp:positionV>
            <wp:extent cx="2160270" cy="1310640"/>
            <wp:effectExtent l="0" t="0" r="11430" b="3810"/>
            <wp:wrapNone/>
            <wp:docPr id="14" name="https://photo-static-api.fotomore.com/creative/vcg/400/version23/VCG41520173064.jpg" descr="templates\picture_hover\&amp;pky94109459339_sjzg_VCG41520173064&amp;2&amp;src_toppic_droprecent&amp;"/>
            <wp:cNvGraphicFramePr/>
            <a:graphic xmlns:a="http://schemas.openxmlformats.org/drawingml/2006/main">
              <a:graphicData uri="http://schemas.openxmlformats.org/drawingml/2006/picture">
                <pic:pic xmlns:pic="http://schemas.openxmlformats.org/drawingml/2006/picture">
                  <pic:nvPicPr>
                    <pic:cNvPr id="14" name="https://photo-static-api.fotomore.com/creative/vcg/400/version23/VCG41520173064.jpg" descr="templates\picture_hover\&amp;pky94109459339_sjzg_VCG41520173064&amp;2&amp;src_toppic_droprecent&amp;"/>
                    <pic:cNvPicPr/>
                  </pic:nvPicPr>
                  <pic:blipFill>
                    <a:blip r:embed="rId10"/>
                    <a:stretch>
                      <a:fillRect/>
                    </a:stretch>
                  </pic:blipFill>
                  <pic:spPr>
                    <a:xfrm>
                      <a:off x="0" y="0"/>
                      <a:ext cx="2160270" cy="1310640"/>
                    </a:xfrm>
                    <a:prstGeom prst="rect">
                      <a:avLst/>
                    </a:prstGeom>
                  </pic:spPr>
                </pic:pic>
              </a:graphicData>
            </a:graphic>
          </wp:anchor>
        </w:drawing>
      </w:r>
      <w:r>
        <w:drawing>
          <wp:anchor distT="0" distB="0" distL="114300" distR="114300" simplePos="0" relativeHeight="251664384" behindDoc="0" locked="0" layoutInCell="1" allowOverlap="1">
            <wp:simplePos x="0" y="0"/>
            <wp:positionH relativeFrom="column">
              <wp:posOffset>4027805</wp:posOffset>
            </wp:positionH>
            <wp:positionV relativeFrom="paragraph">
              <wp:posOffset>2141220</wp:posOffset>
            </wp:positionV>
            <wp:extent cx="2162810" cy="1310640"/>
            <wp:effectExtent l="0" t="0" r="8890" b="3810"/>
            <wp:wrapNone/>
            <wp:docPr id="8" name="https://photo-static-api.fotomore.com/creative/vcg/400/new/VCG41N1489769134.jpg?uid=386&amp;timestamp=1686554386&amp;sign=5f45ccbb5851510551cea00294a903df" descr="templates\picture_hover\&amp;pky17209834312_sjzg_VCG41N1489769134&amp;2&amp;src_toppic_droprecen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ttps://photo-static-api.fotomore.com/creative/vcg/400/new/VCG41N1489769134.jpg?uid=386&amp;timestamp=1686554386&amp;sign=5f45ccbb5851510551cea00294a903df" descr="templates\picture_hover\&amp;pky17209834312_sjzg_VCG41N1489769134&amp;2&amp;src_toppic_droprecent&amp;"/>
                    <pic:cNvPicPr>
                      <a:picLocks noChangeAspect="1"/>
                    </pic:cNvPicPr>
                  </pic:nvPicPr>
                  <pic:blipFill>
                    <a:blip r:embed="rId11"/>
                    <a:stretch>
                      <a:fillRect/>
                    </a:stretch>
                  </pic:blipFill>
                  <pic:spPr>
                    <a:xfrm>
                      <a:off x="0" y="0"/>
                      <a:ext cx="2162810" cy="1310640"/>
                    </a:xfrm>
                    <a:prstGeom prst="rect">
                      <a:avLst/>
                    </a:prstGeom>
                  </pic:spPr>
                </pic:pic>
              </a:graphicData>
            </a:graphic>
          </wp:anchor>
        </w:drawing>
      </w:r>
      <w:r>
        <mc:AlternateContent>
          <mc:Choice Requires="wpg">
            <w:drawing>
              <wp:anchor distT="0" distB="0" distL="114300" distR="114300" simplePos="0" relativeHeight="251662336" behindDoc="0" locked="0" layoutInCell="1" allowOverlap="1">
                <wp:simplePos x="0" y="0"/>
                <wp:positionH relativeFrom="column">
                  <wp:posOffset>-2783205</wp:posOffset>
                </wp:positionH>
                <wp:positionV relativeFrom="paragraph">
                  <wp:posOffset>2138680</wp:posOffset>
                </wp:positionV>
                <wp:extent cx="9053195" cy="1447165"/>
                <wp:effectExtent l="0" t="0" r="14605" b="635"/>
                <wp:wrapNone/>
                <wp:docPr id="2" name="组合 2"/>
                <wp:cNvGraphicFramePr/>
                <a:graphic xmlns:a="http://schemas.openxmlformats.org/drawingml/2006/main">
                  <a:graphicData uri="http://schemas.microsoft.com/office/word/2010/wordprocessingGroup">
                    <wpg:wgp>
                      <wpg:cNvGrpSpPr/>
                      <wpg:grpSpPr>
                        <a:xfrm>
                          <a:off x="0" y="0"/>
                          <a:ext cx="9053195" cy="1447017"/>
                          <a:chOff x="-3504" y="4387"/>
                          <a:chExt cx="19200" cy="2716"/>
                        </a:xfrm>
                      </wpg:grpSpPr>
                      <wps:wsp>
                        <wps:cNvPr id="3075" name="矩形 19"/>
                        <wps:cNvSpPr/>
                        <wps:spPr>
                          <a:xfrm>
                            <a:off x="-381" y="4387"/>
                            <a:ext cx="1834" cy="2457"/>
                          </a:xfrm>
                          <a:prstGeom prst="rect">
                            <a:avLst/>
                          </a:prstGeom>
                          <a:solidFill>
                            <a:srgbClr val="0176AB"/>
                          </a:solidFill>
                          <a:ln w="9525">
                            <a:noFill/>
                          </a:ln>
                        </wps:spPr>
                        <wps:bodyPr anchor="ctr" anchorCtr="0"/>
                      </wps:wsp>
                      <wps:wsp>
                        <wps:cNvPr id="3079" name="矩形 24"/>
                        <wps:cNvSpPr/>
                        <wps:spPr>
                          <a:xfrm>
                            <a:off x="-3504" y="6953"/>
                            <a:ext cx="11815" cy="150"/>
                          </a:xfrm>
                          <a:custGeom>
                            <a:avLst/>
                            <a:gdLst/>
                            <a:ahLst/>
                            <a:cxnLst>
                              <a:cxn ang="0">
                                <a:pos x="0" y="0"/>
                              </a:cxn>
                              <a:cxn ang="0">
                                <a:pos x="7463453" y="6619"/>
                              </a:cxn>
                              <a:cxn ang="0">
                                <a:pos x="7506490" y="98604"/>
                              </a:cxn>
                              <a:cxn ang="0">
                                <a:pos x="0" y="98604"/>
                              </a:cxn>
                              <a:cxn ang="0">
                                <a:pos x="0" y="0"/>
                              </a:cxn>
                            </a:cxnLst>
                            <a:rect l="0" t="0" r="0" b="0"/>
                            <a:pathLst>
                              <a:path w="7501732" h="94593">
                                <a:moveTo>
                                  <a:pt x="0" y="0"/>
                                </a:moveTo>
                                <a:lnTo>
                                  <a:pt x="7458720" y="6350"/>
                                </a:lnTo>
                                <a:lnTo>
                                  <a:pt x="7501732" y="94593"/>
                                </a:lnTo>
                                <a:lnTo>
                                  <a:pt x="0" y="94593"/>
                                </a:lnTo>
                                <a:lnTo>
                                  <a:pt x="0" y="0"/>
                                </a:lnTo>
                                <a:close/>
                              </a:path>
                            </a:pathLst>
                          </a:custGeom>
                          <a:solidFill>
                            <a:srgbClr val="E5AA57">
                              <a:alpha val="100000"/>
                            </a:srgbClr>
                          </a:solidFill>
                          <a:ln w="9525">
                            <a:noFill/>
                          </a:ln>
                        </wps:spPr>
                        <wps:bodyPr/>
                      </wps:wsp>
                      <wps:wsp>
                        <wps:cNvPr id="3080" name="矩形 25"/>
                        <wps:cNvSpPr/>
                        <wps:spPr>
                          <a:xfrm>
                            <a:off x="8331" y="6953"/>
                            <a:ext cx="7365" cy="150"/>
                          </a:xfrm>
                          <a:custGeom>
                            <a:avLst/>
                            <a:gdLst/>
                            <a:ahLst/>
                            <a:cxnLst>
                              <a:cxn ang="0">
                                <a:pos x="0" y="0"/>
                              </a:cxn>
                              <a:cxn ang="0">
                                <a:pos x="4679715" y="0"/>
                              </a:cxn>
                              <a:cxn ang="0">
                                <a:pos x="4679715" y="98599"/>
                              </a:cxn>
                              <a:cxn ang="0">
                                <a:pos x="57552" y="98599"/>
                              </a:cxn>
                              <a:cxn ang="0">
                                <a:pos x="0" y="0"/>
                              </a:cxn>
                            </a:cxnLst>
                            <a:rect l="0" t="0" r="0" b="0"/>
                            <a:pathLst>
                              <a:path w="4676187" h="94594">
                                <a:moveTo>
                                  <a:pt x="0" y="0"/>
                                </a:moveTo>
                                <a:lnTo>
                                  <a:pt x="4676187" y="0"/>
                                </a:lnTo>
                                <a:lnTo>
                                  <a:pt x="4676187" y="94594"/>
                                </a:lnTo>
                                <a:lnTo>
                                  <a:pt x="57510" y="94594"/>
                                </a:lnTo>
                                <a:lnTo>
                                  <a:pt x="0" y="0"/>
                                </a:lnTo>
                                <a:close/>
                              </a:path>
                            </a:pathLst>
                          </a:custGeom>
                          <a:solidFill>
                            <a:srgbClr val="0176AB">
                              <a:alpha val="100000"/>
                            </a:srgbClr>
                          </a:solidFill>
                          <a:ln w="9525">
                            <a:noFill/>
                          </a:ln>
                        </wps:spPr>
                        <wps:bodyPr/>
                      </wps:wsp>
                    </wpg:wgp>
                  </a:graphicData>
                </a:graphic>
              </wp:anchor>
            </w:drawing>
          </mc:Choice>
          <mc:Fallback>
            <w:pict>
              <v:group id="_x0000_s1026" o:spid="_x0000_s1026" o:spt="203" style="position:absolute;left:0pt;margin-left:-219.15pt;margin-top:168.4pt;height:113.95pt;width:712.85pt;z-index:251662336;mso-width-relative:page;mso-height-relative:page;" coordorigin="-3504,4387" coordsize="19200,2716" o:gfxdata="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">
                <o:lock v:ext="edit" aspectratio="f"/>
                <v:rect id="矩形 19" o:spid="_x0000_s1026" o:spt="1" style="position:absolute;left:-381;top:4387;height:2457;width:1834;v-text-anchor:middle;" fillcolor="#0176AB" filled="t" stroked="f" coordsize="21600,21600" o:gfxdata="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f+P3v&#10;wAAAAN0AAAAPAAAAAAAAAAEAIAAAACIAAABkcnMvZG93bnJldi54bWxQSwECFAAUAAAACACHTuJA&#10;My8FnjsAAAA5AAAAEAAAAAAAAAABACAAAAAPAQAAZHJzL3NoYXBleG1sLnhtbFBLBQYAAAAABgAG&#10;AFsBAAC5AwAAAAA=&#10;">
                  <v:fill on="t" focussize="0,0"/>
                  <v:stroke on="f"/>
                  <v:imagedata o:title=""/>
                  <o:lock v:ext="edit" aspectratio="f"/>
                </v:rect>
                <v:shape id="矩形 24" o:spid="_x0000_s1026" o:spt="100" style="position:absolute;left:-3504;top:6953;height:150;width:11815;" fillcolor="#E5AA57" filled="t" stroked="f" coordsize="7501732,94593" o:gfxdata="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8dX6O&#10;wAAAAN0AAAAPAAAAAAAAAAEAIAAAACIAAABkcnMvZG93bnJldi54bWxQSwECFAAUAAAACACHTuJA&#10;My8FnjsAAAA5AAAAEAAAAAAAAAABACAAAAAPAQAAZHJzL3NoYXBleG1sLnhtbFBLBQYAAAAABgAG&#10;AFsBAAC5AwAAAAA=&#10;" path="m0,0l7458720,6350,7501732,94593,0,94593,0,0xe">
                  <v:path o:connectlocs="0,0;7463453,6619;7506490,98604;0,98604;0,0" o:connectangles="0,0,0,0,0"/>
                  <v:fill on="t" focussize="0,0"/>
                  <v:stroke on="f"/>
                  <v:imagedata o:title=""/>
                  <o:lock v:ext="edit" aspectratio="f"/>
                </v:shape>
                <v:shape id="矩形 25" o:spid="_x0000_s1026" o:spt="100" style="position:absolute;left:8331;top:6953;height:150;width:7365;" fillcolor="#0176AB" filled="t" stroked="f" coordsize="4676187,94594" o:gfxdata="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9GhB25AAAA3QAA&#10;AA8AAAAAAAAAAQAgAAAAIgAAAGRycy9kb3ducmV2LnhtbFBLAQIUABQAAAAIAIdO4kAzLwWeOwAA&#10;ADkAAAAQAAAAAAAAAAEAIAAAAAgBAABkcnMvc2hhcGV4bWwueG1sUEsFBgAAAAAGAAYAWwEAALID&#10;AAAAAA==&#10;" path="m0,0l4676187,0,4676187,94594,57510,94594,0,0xe">
                  <v:path o:connectlocs="0,0;4679715,0;4679715,98599;57552,98599;0,0" o:connectangles="0,0,0,0,0"/>
                  <v:fill on="t" focussize="0,0"/>
                  <v:stroke on="f"/>
                  <v:imagedata o:title=""/>
                  <o:lock v:ext="edit" aspectratio="f"/>
                </v:shape>
              </v:group>
            </w:pict>
          </mc:Fallback>
        </mc:AlternateContent>
      </w:r>
      <w:r>
        <w:drawing>
          <wp:anchor distT="0" distB="0" distL="114300" distR="114300" simplePos="0" relativeHeight="251659264" behindDoc="1" locked="0" layoutInCell="1" allowOverlap="1">
            <wp:simplePos x="0" y="0"/>
            <wp:positionH relativeFrom="margin">
              <wp:posOffset>-2950210</wp:posOffset>
            </wp:positionH>
            <wp:positionV relativeFrom="margin">
              <wp:posOffset>653415</wp:posOffset>
            </wp:positionV>
            <wp:extent cx="11083290" cy="7844790"/>
            <wp:effectExtent l="0" t="0" r="3810" b="3810"/>
            <wp:wrapNone/>
            <wp:docPr id="73" name="背景 耗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背景 耗崽"/>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rot="16200000">
                      <a:off x="0" y="0"/>
                      <a:ext cx="11083290" cy="7844790"/>
                    </a:xfrm>
                    <a:prstGeom prst="rect">
                      <a:avLst/>
                    </a:prstGeom>
                  </pic:spPr>
                </pic:pic>
              </a:graphicData>
            </a:graphic>
          </wp:anchor>
        </w:drawing>
      </w:r>
      <w:r>
        <mc:AlternateContent>
          <mc:Choice Requires="wpg">
            <w:drawing>
              <wp:anchor distT="0" distB="0" distL="114300" distR="114300" simplePos="0" relativeHeight="251661312" behindDoc="0" locked="0" layoutInCell="1" allowOverlap="1">
                <wp:simplePos x="0" y="0"/>
                <wp:positionH relativeFrom="column">
                  <wp:posOffset>-280670</wp:posOffset>
                </wp:positionH>
                <wp:positionV relativeFrom="paragraph">
                  <wp:posOffset>-313055</wp:posOffset>
                </wp:positionV>
                <wp:extent cx="5954395" cy="1885315"/>
                <wp:effectExtent l="0" t="0" r="0" b="14605"/>
                <wp:wrapNone/>
                <wp:docPr id="1" name="组合 1"/>
                <wp:cNvGraphicFramePr/>
                <a:graphic xmlns:a="http://schemas.openxmlformats.org/drawingml/2006/main">
                  <a:graphicData uri="http://schemas.microsoft.com/office/word/2010/wordprocessingGroup">
                    <wpg:wgp>
                      <wpg:cNvGrpSpPr/>
                      <wpg:grpSpPr>
                        <a:xfrm>
                          <a:off x="0" y="0"/>
                          <a:ext cx="5954395" cy="1885315"/>
                          <a:chOff x="12098" y="1831"/>
                          <a:chExt cx="9377" cy="2969"/>
                        </a:xfrm>
                      </wpg:grpSpPr>
                      <wps:wsp>
                        <wps:cNvPr id="89" name="文本框 32"/>
                        <wps:cNvSpPr txBox="1"/>
                        <wps:spPr>
                          <a:xfrm>
                            <a:off x="13325" y="1831"/>
                            <a:ext cx="4462" cy="1348"/>
                          </a:xfrm>
                          <a:prstGeom prst="rect">
                            <a:avLst/>
                          </a:prstGeom>
                          <a:noFill/>
                        </wps:spPr>
                        <wps:txbx>
                          <w:txbxContent>
                            <w:p>
                              <w:pPr>
                                <w:jc w:val="distribute"/>
                                <w:rPr>
                                  <w:rFonts w:ascii="方正魏碑简体" w:hAnsi="Arial" w:eastAsia="方正魏碑简体" w:cs="Arial"/>
                                  <w:color w:val="000000" w:themeColor="text1"/>
                                  <w:kern w:val="0"/>
                                  <w:sz w:val="2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方正魏碑简体" w:hAnsi="Arial" w:eastAsia="方正魏碑简体" w:cs="Arial"/>
                                  <w:color w:val="000000" w:themeColor="text1"/>
                                  <w:spacing w:val="60"/>
                                  <w:kern w:val="24"/>
                                  <w:sz w:val="72"/>
                                  <w:szCs w:val="7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2023年度</w:t>
                              </w:r>
                            </w:p>
                          </w:txbxContent>
                        </wps:txbx>
                        <wps:bodyPr wrap="square" rtlCol="0">
                          <a:noAutofit/>
                        </wps:bodyPr>
                      </wps:wsp>
                      <wpg:grpSp>
                        <wpg:cNvPr id="6" name="组合 6"/>
                        <wpg:cNvGrpSpPr/>
                        <wpg:grpSpPr>
                          <a:xfrm>
                            <a:off x="12098" y="3193"/>
                            <a:ext cx="9377" cy="1607"/>
                            <a:chOff x="6119" y="2843"/>
                            <a:chExt cx="9377" cy="1607"/>
                          </a:xfrm>
                        </wpg:grpSpPr>
                        <wps:wsp>
                          <wps:cNvPr id="91" name="文本框 32"/>
                          <wps:cNvSpPr txBox="1"/>
                          <wps:spPr>
                            <a:xfrm>
                              <a:off x="6119" y="2843"/>
                              <a:ext cx="9377" cy="1421"/>
                            </a:xfrm>
                            <a:prstGeom prst="rect">
                              <a:avLst/>
                            </a:prstGeom>
                            <a:noFill/>
                          </wps:spPr>
                          <wps:txbx>
                            <w:txbxContent>
                              <w:p>
                                <w:pPr>
                                  <w:jc w:val="left"/>
                                  <w:rPr>
                                    <w:rFonts w:ascii="黑体" w:hAnsi="黑体" w:eastAsia="黑体" w:cs="黑体"/>
                                    <w:color w:val="000000" w:themeColor="text1"/>
                                    <w:kern w:val="0"/>
                                    <w:sz w:val="24"/>
                                    <w:szCs w:val="2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黑体" w:hAnsi="黑体" w:eastAsia="黑体" w:cs="黑体"/>
                                    <w:color w:val="000000" w:themeColor="text1"/>
                                    <w:spacing w:val="60"/>
                                    <w:kern w:val="24"/>
                                    <w:sz w:val="96"/>
                                    <w:szCs w:val="96"/>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部门决算公开文本</w:t>
                                </w:r>
                              </w:p>
                            </w:txbxContent>
                          </wps:txbx>
                          <wps:bodyPr wrap="square" rtlCol="0">
                            <a:noAutofit/>
                          </wps:bodyPr>
                        </wps:wsp>
                        <wps:wsp>
                          <wps:cNvPr id="4" name="直接连接符 4"/>
                          <wps:cNvCnPr/>
                          <wps:spPr>
                            <a:xfrm>
                              <a:off x="6226" y="4450"/>
                              <a:ext cx="8700" cy="0"/>
                            </a:xfrm>
                            <a:prstGeom prst="line">
                              <a:avLst/>
                            </a:prstGeom>
                            <a:ln w="28575" cmpd="sng">
                              <a:solidFill>
                                <a:schemeClr val="accent1">
                                  <a:shade val="50000"/>
                                </a:schemeClr>
                              </a:solidFill>
                              <a:prstDash val="sysDot"/>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id="_x0000_s1026" o:spid="_x0000_s1026" o:spt="203" style="position:absolute;left:0pt;margin-left:-22.1pt;margin-top:-24.65pt;height:148.45pt;width:468.85pt;z-index:251661312;mso-width-relative:page;mso-height-relative:page;" coordorigin="12098,1831" coordsize="9377,2969" o:gfxdata="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">
                <o:lock v:ext="edit" aspectratio="f"/>
                <v:shape id="文本框 32" o:spid="_x0000_s1026" o:spt="202" type="#_x0000_t202" style="position:absolute;left:13325;top:1831;height:1348;width:4462;" filled="f" stroked="f" coordsize="21600,21600" o:gfxdata="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oO67L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jc w:val="distribute"/>
                          <w:rPr>
                            <w:rFonts w:ascii="方正魏碑简体" w:hAnsi="Arial" w:eastAsia="方正魏碑简体" w:cs="Arial"/>
                            <w:color w:val="000000" w:themeColor="text1"/>
                            <w:kern w:val="0"/>
                            <w:sz w:val="2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方正魏碑简体" w:hAnsi="Arial" w:eastAsia="方正魏碑简体" w:cs="Arial"/>
                            <w:color w:val="000000" w:themeColor="text1"/>
                            <w:spacing w:val="60"/>
                            <w:kern w:val="24"/>
                            <w:sz w:val="72"/>
                            <w:szCs w:val="7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2023年度</w:t>
                        </w:r>
                      </w:p>
                    </w:txbxContent>
                  </v:textbox>
                </v:shape>
                <v:group id="_x0000_s1026" o:spid="_x0000_s1026" o:spt="203" style="position:absolute;left:12098;top:3193;height:1607;width:9377;" coordorigin="6119,2843" coordsize="9377,1607" o:gfxdata="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CDXDL0AAADaAAAADwAAAAAAAAABACAAAAAiAAAAZHJzL2Rvd25yZXYueG1s&#10;UEsBAhQAFAAAAAgAh07iQDMvBZ47AAAAOQAAABUAAAAAAAAAAQAgAAAADAEAAGRycy9ncm91cHNo&#10;YXBleG1sLnhtbFBLBQYAAAAABgAGAGABAADJAwAAAAA=&#10;">
                  <o:lock v:ext="edit" aspectratio="f"/>
                  <v:shape id="文本框 32" o:spid="_x0000_s1026" o:spt="202" type="#_x0000_t202" style="position:absolute;left:6119;top:2843;height:1421;width:9377;" filled="f" stroked="f" coordsize="21600,21600" o:gfxdata="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SwgN7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jc w:val="left"/>
                            <w:rPr>
                              <w:rFonts w:ascii="黑体" w:hAnsi="黑体" w:eastAsia="黑体" w:cs="黑体"/>
                              <w:color w:val="000000" w:themeColor="text1"/>
                              <w:kern w:val="0"/>
                              <w:sz w:val="24"/>
                              <w:szCs w:val="2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黑体" w:hAnsi="黑体" w:eastAsia="黑体" w:cs="黑体"/>
                              <w:color w:val="000000" w:themeColor="text1"/>
                              <w:spacing w:val="60"/>
                              <w:kern w:val="24"/>
                              <w:sz w:val="96"/>
                              <w:szCs w:val="96"/>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部门决算公开文本</w:t>
                          </w:r>
                        </w:p>
                      </w:txbxContent>
                    </v:textbox>
                  </v:shape>
                  <v:line id="_x0000_s1026" o:spid="_x0000_s1026" o:spt="20" style="position:absolute;left:6226;top:4450;height:0;width:8700;" filled="f" stroked="t" coordsize="21600,21600" o:gfxdata="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M574A&#10;AADaAAAADwAAAAAAAAABACAAAAAiAAAAZHJzL2Rvd25yZXYueG1sUEsBAhQAFAAAAAgAh07iQDMv&#10;BZ47AAAAOQAAABAAAAAAAAAAAQAgAAAADQEAAGRycy9zaGFwZXhtbC54bWxQSwUGAAAAAAYABgBb&#10;AQAAtwMAAAAA&#10;">
                    <v:fill on="f" focussize="0,0"/>
                    <v:stroke weight="2.25pt" color="#325395 [3204]" miterlimit="8" joinstyle="miter" dashstyle="1 1"/>
                    <v:imagedata o:title=""/>
                    <o:lock v:ext="edit" aspectratio="f"/>
                  </v:line>
                </v:group>
              </v:group>
            </w:pict>
          </mc:Fallback>
        </mc:AlternateContent>
      </w:r>
      <w:r>
        <w:drawing>
          <wp:anchor distT="0" distB="0" distL="114300" distR="114300" simplePos="0" relativeHeight="251663360" behindDoc="0" locked="0" layoutInCell="1" allowOverlap="1">
            <wp:simplePos x="0" y="0"/>
            <wp:positionH relativeFrom="column">
              <wp:posOffset>-95250</wp:posOffset>
            </wp:positionH>
            <wp:positionV relativeFrom="margin">
              <wp:posOffset>-27305</wp:posOffset>
            </wp:positionV>
            <wp:extent cx="506095" cy="506095"/>
            <wp:effectExtent l="0" t="0" r="8255" b="8255"/>
            <wp:wrapNone/>
            <wp:docPr id="3" name="图片 3" descr="32313539313538323b32313539313537353bb5e7c4d4b0ecb9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2313539313538323b32313539313537353bb5e7c4d4b0ecb9ab"/>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506095" cy="506095"/>
                    </a:xfrm>
                    <a:prstGeom prst="rect">
                      <a:avLst/>
                    </a:prstGeom>
                  </pic:spPr>
                </pic:pic>
              </a:graphicData>
            </a:graphic>
          </wp:anchor>
        </w:drawing>
      </w:r>
      <w:r>
        <mc:AlternateContent>
          <mc:Choice Requires="wps">
            <w:drawing>
              <wp:anchor distT="0" distB="0" distL="114300" distR="114300" simplePos="0" relativeHeight="251660288" behindDoc="0" locked="0" layoutInCell="1" allowOverlap="1">
                <wp:simplePos x="0" y="0"/>
                <wp:positionH relativeFrom="column">
                  <wp:posOffset>-253365</wp:posOffset>
                </wp:positionH>
                <wp:positionV relativeFrom="paragraph">
                  <wp:posOffset>1611630</wp:posOffset>
                </wp:positionV>
                <wp:extent cx="5494020" cy="570230"/>
                <wp:effectExtent l="0" t="0" r="0" b="0"/>
                <wp:wrapNone/>
                <wp:docPr id="98" name="文本框 33"/>
                <wp:cNvGraphicFramePr/>
                <a:graphic xmlns:a="http://schemas.openxmlformats.org/drawingml/2006/main">
                  <a:graphicData uri="http://schemas.microsoft.com/office/word/2010/wordprocessingShape">
                    <wps:wsp>
                      <wps:cNvSpPr txBox="1"/>
                      <wps:spPr>
                        <a:xfrm>
                          <a:off x="0" y="0"/>
                          <a:ext cx="5494020" cy="570230"/>
                        </a:xfrm>
                        <a:prstGeom prst="rect">
                          <a:avLst/>
                        </a:prstGeom>
                        <a:noFill/>
                      </wps:spPr>
                      <wps:txbx>
                        <w:txbxContent>
                          <w:p>
                            <w:pPr>
                              <w:jc w:val="distribute"/>
                              <w:rPr>
                                <w:rFonts w:ascii="思源黑体 CN Heavy" w:hAnsi="思源黑体 CN Heavy" w:eastAsia="思源黑体 CN Heavy"/>
                                <w:color w:val="A6A6A6" w:themeColor="background1" w:themeShade="A6"/>
                                <w:kern w:val="0"/>
                                <w:sz w:val="40"/>
                                <w:szCs w:val="40"/>
                              </w:rPr>
                            </w:pPr>
                          </w:p>
                        </w:txbxContent>
                      </wps:txbx>
                      <wps:bodyPr wrap="square" rtlCol="0">
                        <a:noAutofit/>
                      </wps:bodyPr>
                    </wps:wsp>
                  </a:graphicData>
                </a:graphic>
              </wp:anchor>
            </w:drawing>
          </mc:Choice>
          <mc:Fallback>
            <w:pict>
              <v:shape id="文本框 33" o:spid="_x0000_s1026" o:spt="202" type="#_x0000_t202" style="position:absolute;left:0pt;margin-left:-19.95pt;margin-top:126.9pt;height:44.9pt;width:432.6pt;z-index:251660288;mso-width-relative:page;mso-height-relative:page;" filled="f" stroked="f" coordsize="21600,21600" o:gfxdata="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BZqWWv2AAAAAsBAAAPAAAAAAAA&#10;AAEAIAAAACIAAABkcnMvZG93bnJldi54bWxQSwECFAAUAAAACACHTuJA5W10YaABAAARAwAADgAA&#10;AAAAAAABACAAAAAnAQAAZHJzL2Uyb0RvYy54bWxQSwUGAAAAAAYABgBZAQAAOQUAAAAA&#10;">
                <v:fill on="f" focussize="0,0"/>
                <v:stroke on="f"/>
                <v:imagedata o:title=""/>
                <o:lock v:ext="edit" aspectratio="f"/>
                <v:textbox>
                  <w:txbxContent>
                    <w:p>
                      <w:pPr>
                        <w:jc w:val="distribute"/>
                        <w:rPr>
                          <w:rFonts w:ascii="思源黑体 CN Heavy" w:hAnsi="思源黑体 CN Heavy" w:eastAsia="思源黑体 CN Heavy"/>
                          <w:color w:val="A6A6A6" w:themeColor="background1" w:themeShade="A6"/>
                          <w:kern w:val="0"/>
                          <w:sz w:val="40"/>
                          <w:szCs w:val="40"/>
                        </w:rPr>
                      </w:pPr>
                    </w:p>
                  </w:txbxContent>
                </v:textbox>
              </v:shape>
            </w:pict>
          </mc:Fallback>
        </mc:AlternateContent>
      </w: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rPr>
          <w:rFonts w:hint="eastAsia"/>
        </w:rPr>
      </w:pPr>
    </w:p>
    <w:p>
      <w:pPr>
        <w:spacing w:line="600" w:lineRule="auto"/>
        <w:jc w:val="left"/>
        <w:rPr>
          <w:rFonts w:hint="eastAsia" w:ascii="楷体_GB2312" w:hAnsi="楷体_GB2312" w:eastAsia="楷体_GB2312" w:cs="楷体_GB2312"/>
          <w:color w:val="000000"/>
          <w:sz w:val="40"/>
          <w:szCs w:val="40"/>
          <w:lang w:val="en-US" w:eastAsia="zh-CN"/>
        </w:rPr>
      </w:pPr>
      <w:r>
        <w:rPr>
          <w:rFonts w:hint="eastAsia" w:ascii="黑体" w:hAnsi="黑体" w:eastAsia="黑体" w:cs="黑体"/>
          <w:color w:val="000000"/>
          <w:sz w:val="40"/>
          <w:szCs w:val="40"/>
        </w:rPr>
        <w:t>预算代码</w:t>
      </w:r>
      <w:r>
        <w:rPr>
          <w:rFonts w:hint="eastAsia" w:ascii="楷体_GB2312" w:hAnsi="楷体_GB2312" w:eastAsia="楷体_GB2312" w:cs="楷体_GB2312"/>
          <w:color w:val="000000"/>
          <w:sz w:val="40"/>
          <w:szCs w:val="40"/>
        </w:rPr>
        <w:t>：</w:t>
      </w:r>
      <w:r>
        <w:rPr>
          <w:rFonts w:hint="eastAsia" w:ascii="楷体_GB2312" w:hAnsi="楷体_GB2312" w:eastAsia="楷体_GB2312" w:cs="楷体_GB2312"/>
          <w:color w:val="000000"/>
          <w:sz w:val="40"/>
          <w:szCs w:val="40"/>
          <w:lang w:val="en-US" w:eastAsia="zh-CN"/>
        </w:rPr>
        <w:t>731004</w:t>
      </w:r>
    </w:p>
    <w:p>
      <w:pPr>
        <w:spacing w:line="600" w:lineRule="auto"/>
        <w:jc w:val="left"/>
        <w:rPr>
          <w:rFonts w:ascii="楷体_GB2312" w:hAnsi="楷体_GB2312" w:eastAsia="楷体_GB2312" w:cs="楷体_GB2312"/>
          <w:color w:val="000000"/>
          <w:sz w:val="40"/>
          <w:szCs w:val="40"/>
        </w:rPr>
      </w:pPr>
      <w:r>
        <w:rPr>
          <w:rFonts w:hint="eastAsia" w:ascii="黑体" w:hAnsi="黑体" w:eastAsia="黑体" w:cs="黑体"/>
          <w:color w:val="000000"/>
          <w:sz w:val="40"/>
          <w:szCs w:val="40"/>
        </w:rPr>
        <w:t>单位名称</w:t>
      </w:r>
      <w:r>
        <w:rPr>
          <w:rFonts w:hint="eastAsia" w:ascii="楷体_GB2312" w:hAnsi="楷体_GB2312" w:eastAsia="楷体_GB2312" w:cs="楷体_GB2312"/>
          <w:color w:val="000000"/>
          <w:sz w:val="40"/>
          <w:szCs w:val="40"/>
        </w:rPr>
        <w:t>：衡水市科普宣传教育中心</w:t>
      </w:r>
    </w:p>
    <w:p>
      <w:pPr>
        <w:spacing w:line="600" w:lineRule="auto"/>
        <w:jc w:val="left"/>
        <w:rPr>
          <w:rFonts w:hint="default" w:ascii="楷体_GB2312" w:hAnsi="楷体_GB2312" w:eastAsia="楷体_GB2312" w:cs="楷体_GB2312"/>
          <w:color w:val="000000"/>
          <w:sz w:val="40"/>
          <w:szCs w:val="40"/>
          <w:lang w:val="en-US" w:eastAsia="zh-CN"/>
        </w:rPr>
      </w:pPr>
    </w:p>
    <w:p>
      <w:pPr>
        <w:spacing w:line="600" w:lineRule="auto"/>
        <w:jc w:val="center"/>
        <w:rPr>
          <w:rFonts w:hint="eastAsia" w:ascii="楷体_GB2312" w:hAnsi="楷体_GB2312" w:eastAsia="楷体_GB2312" w:cs="楷体_GB2312"/>
          <w:color w:val="000000"/>
          <w:sz w:val="40"/>
          <w:szCs w:val="40"/>
        </w:rPr>
      </w:pPr>
    </w:p>
    <w:p>
      <w:pPr>
        <w:spacing w:line="600" w:lineRule="auto"/>
        <w:jc w:val="center"/>
        <w:rPr>
          <w:rFonts w:hint="eastAsia" w:ascii="楷体_GB2312" w:hAnsi="楷体_GB2312" w:eastAsia="楷体_GB2312" w:cs="楷体_GB2312"/>
          <w:color w:val="000000"/>
          <w:sz w:val="40"/>
          <w:szCs w:val="40"/>
        </w:rPr>
      </w:pPr>
    </w:p>
    <w:p>
      <w:pPr>
        <w:spacing w:line="600" w:lineRule="auto"/>
        <w:jc w:val="both"/>
        <w:rPr>
          <w:rFonts w:hint="eastAsia" w:ascii="楷体_GB2312" w:hAnsi="楷体_GB2312" w:eastAsia="楷体_GB2312" w:cs="楷体_GB2312"/>
          <w:color w:val="000000"/>
          <w:sz w:val="40"/>
          <w:szCs w:val="40"/>
        </w:rPr>
      </w:pPr>
    </w:p>
    <w:p>
      <w:pPr>
        <w:spacing w:line="600" w:lineRule="auto"/>
        <w:jc w:val="center"/>
        <w:rPr>
          <w:rFonts w:hint="eastAsia" w:ascii="楷体_GB2312" w:hAnsi="楷体_GB2312" w:eastAsia="楷体_GB2312" w:cs="楷体_GB2312"/>
          <w:color w:val="000000"/>
          <w:sz w:val="40"/>
          <w:szCs w:val="40"/>
        </w:rPr>
      </w:pPr>
      <w:r>
        <w:rPr>
          <w:rFonts w:hint="eastAsia" w:ascii="楷体_GB2312" w:hAnsi="楷体_GB2312" w:eastAsia="楷体_GB2312" w:cs="楷体_GB2312"/>
          <w:color w:val="000000"/>
          <w:sz w:val="40"/>
          <w:szCs w:val="40"/>
        </w:rPr>
        <w:t>二〇二四年</w:t>
      </w:r>
      <w:r>
        <w:rPr>
          <w:rFonts w:hint="eastAsia" w:ascii="楷体_GB2312" w:hAnsi="楷体_GB2312" w:eastAsia="楷体_GB2312" w:cs="楷体_GB2312"/>
          <w:color w:val="000000"/>
          <w:sz w:val="40"/>
          <w:szCs w:val="40"/>
          <w:lang w:eastAsia="zh-CN"/>
        </w:rPr>
        <w:t>十</w:t>
      </w:r>
      <w:r>
        <w:rPr>
          <w:rFonts w:hint="eastAsia" w:ascii="楷体_GB2312" w:hAnsi="楷体_GB2312" w:eastAsia="楷体_GB2312" w:cs="楷体_GB2312"/>
          <w:color w:val="000000"/>
          <w:sz w:val="40"/>
          <w:szCs w:val="40"/>
        </w:rPr>
        <w:t>月</w:t>
      </w:r>
    </w:p>
    <w:p>
      <w:pPr>
        <w:rPr>
          <w:rFonts w:ascii="黑体" w:hAnsi="黑体" w:eastAsia="黑体" w:cs="黑体"/>
          <w:bCs/>
          <w:sz w:val="32"/>
          <w:szCs w:val="32"/>
        </w:rPr>
      </w:pPr>
      <w:r>
        <w:rPr>
          <w:rFonts w:hint="eastAsia" w:ascii="楷体_GB2312" w:hAnsi="楷体_GB2312" w:eastAsia="楷体_GB2312" w:cs="楷体_GB2312"/>
          <w:color w:val="000000"/>
          <w:sz w:val="40"/>
          <w:szCs w:val="40"/>
        </w:rPr>
        <w:br w:type="page"/>
      </w:r>
    </w:p>
    <w:p>
      <w:pPr>
        <w:tabs>
          <w:tab w:val="left" w:pos="2728"/>
        </w:tabs>
        <w:jc w:val="center"/>
        <w:rPr>
          <w:rFonts w:ascii="黑体" w:hAnsi="Times New Roman" w:eastAsia="黑体" w:cs="Times New Roman"/>
          <w:sz w:val="48"/>
          <w:szCs w:val="48"/>
        </w:rPr>
      </w:pPr>
    </w:p>
    <w:p>
      <w:pPr>
        <w:tabs>
          <w:tab w:val="left" w:pos="2728"/>
        </w:tabs>
        <w:jc w:val="center"/>
        <w:rPr>
          <w:rFonts w:ascii="黑体" w:hAnsi="Times New Roman" w:eastAsia="黑体" w:cs="Times New Roman"/>
          <w:sz w:val="44"/>
          <w:szCs w:val="44"/>
        </w:rPr>
      </w:pPr>
      <w:r>
        <w:rPr>
          <w:rFonts w:hint="eastAsia" w:ascii="黑体" w:hAnsi="Times New Roman" w:eastAsia="黑体" w:cs="Times New Roman"/>
          <w:sz w:val="44"/>
          <w:szCs w:val="44"/>
        </w:rPr>
        <w:t>目    录</w:t>
      </w:r>
    </w:p>
    <w:p>
      <w:pPr>
        <w:widowControl/>
        <w:spacing w:after="160" w:line="580" w:lineRule="exact"/>
        <w:ind w:firstLine="640" w:firstLineChars="200"/>
        <w:rPr>
          <w:rFonts w:ascii="Times New Roman" w:hAnsi="Times New Roman" w:eastAsia="黑体" w:cs="Times New Roman"/>
          <w:sz w:val="32"/>
          <w:szCs w:val="32"/>
        </w:rPr>
      </w:pPr>
    </w:p>
    <w:p>
      <w:pPr>
        <w:widowControl/>
        <w:spacing w:after="160" w:line="580" w:lineRule="exact"/>
        <w:ind w:firstLine="640" w:firstLineChars="200"/>
        <w:rPr>
          <w:rFonts w:ascii="Times New Roman" w:hAnsi="Times New Roman" w:eastAsia="仿宋_GB2312" w:cs="Times New Roman"/>
          <w:sz w:val="24"/>
          <w:szCs w:val="32"/>
        </w:rPr>
      </w:pPr>
      <w:r>
        <w:rPr>
          <w:rFonts w:ascii="Times New Roman" w:hAnsi="Times New Roman" w:eastAsia="黑体" w:cs="Times New Roman"/>
          <w:sz w:val="32"/>
          <w:szCs w:val="32"/>
        </w:rPr>
        <w:t>第一部分   部门概况</w:t>
      </w:r>
    </w:p>
    <w:p>
      <w:pPr>
        <w:widowControl/>
        <w:spacing w:after="160" w:line="580" w:lineRule="exact"/>
        <w:ind w:firstLine="1273" w:firstLineChars="398"/>
        <w:rPr>
          <w:rFonts w:ascii="Times New Roman" w:hAnsi="Times New Roman" w:eastAsia="仿宋_GB2312" w:cs="Times New Roman"/>
          <w:sz w:val="32"/>
          <w:szCs w:val="32"/>
        </w:rPr>
      </w:pPr>
      <w:r>
        <w:rPr>
          <w:rFonts w:ascii="Times New Roman" w:hAnsi="Times New Roman" w:eastAsia="仿宋_GB2312" w:cs="Times New Roman"/>
          <w:sz w:val="32"/>
          <w:szCs w:val="32"/>
        </w:rPr>
        <w:t>一、部门</w:t>
      </w:r>
      <w:r>
        <w:rPr>
          <w:rFonts w:hint="eastAsia" w:ascii="Times New Roman" w:hAnsi="Times New Roman" w:eastAsia="仿宋_GB2312" w:cs="Times New Roman"/>
          <w:sz w:val="32"/>
          <w:szCs w:val="32"/>
        </w:rPr>
        <w:t>职责</w:t>
      </w:r>
    </w:p>
    <w:p>
      <w:pPr>
        <w:widowControl/>
        <w:spacing w:after="160" w:line="580" w:lineRule="exact"/>
        <w:ind w:firstLine="1273" w:firstLineChars="398"/>
        <w:rPr>
          <w:rFonts w:ascii="Times New Roman" w:hAnsi="Times New Roman" w:eastAsia="仿宋_GB2312" w:cs="Times New Roman"/>
          <w:sz w:val="32"/>
          <w:szCs w:val="32"/>
        </w:rPr>
      </w:pPr>
      <w:r>
        <w:rPr>
          <w:rFonts w:ascii="Times New Roman" w:hAnsi="Times New Roman" w:eastAsia="仿宋_GB2312" w:cs="Times New Roman"/>
          <w:sz w:val="32"/>
          <w:szCs w:val="32"/>
        </w:rPr>
        <w:t>二、</w:t>
      </w:r>
      <w:r>
        <w:rPr>
          <w:rFonts w:hint="eastAsia" w:ascii="Times New Roman" w:hAnsi="Times New Roman" w:eastAsia="仿宋_GB2312" w:cs="Times New Roman"/>
          <w:sz w:val="32"/>
          <w:szCs w:val="32"/>
        </w:rPr>
        <w:t>机构设置</w:t>
      </w:r>
    </w:p>
    <w:p>
      <w:pPr>
        <w:widowControl/>
        <w:spacing w:after="160" w:line="58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第二部分</w:t>
      </w:r>
      <w:r>
        <w:rPr>
          <w:rFonts w:hint="eastAsia" w:ascii="Times New Roman" w:hAnsi="Times New Roman" w:eastAsia="黑体" w:cs="Times New Roman"/>
          <w:sz w:val="32"/>
          <w:szCs w:val="32"/>
        </w:rPr>
        <w:t xml:space="preserve">   2023年</w:t>
      </w:r>
      <w:r>
        <w:rPr>
          <w:rFonts w:ascii="Times New Roman" w:hAnsi="Times New Roman" w:eastAsia="黑体" w:cs="Times New Roman"/>
          <w:sz w:val="32"/>
          <w:szCs w:val="32"/>
        </w:rPr>
        <w:t>度部门决算报表</w:t>
      </w:r>
    </w:p>
    <w:p>
      <w:pPr>
        <w:widowControl/>
        <w:spacing w:after="160" w:line="580" w:lineRule="exact"/>
        <w:ind w:firstLine="1280" w:firstLineChars="400"/>
        <w:rPr>
          <w:rFonts w:ascii="Times New Roman" w:hAnsi="Times New Roman" w:eastAsia="仿宋_GB2312" w:cs="Times New Roman"/>
          <w:sz w:val="32"/>
          <w:szCs w:val="32"/>
        </w:rPr>
      </w:pPr>
      <w:r>
        <w:rPr>
          <w:rFonts w:ascii="Times New Roman" w:hAnsi="Times New Roman" w:eastAsia="仿宋_GB2312" w:cs="Times New Roman"/>
          <w:sz w:val="32"/>
          <w:szCs w:val="32"/>
        </w:rPr>
        <w:t>一、</w:t>
      </w:r>
      <w:r>
        <w:rPr>
          <w:rFonts w:hint="eastAsia" w:ascii="Times New Roman" w:hAnsi="Times New Roman" w:eastAsia="仿宋_GB2312" w:cs="Times New Roman"/>
          <w:sz w:val="32"/>
          <w:szCs w:val="32"/>
        </w:rPr>
        <w:t>收入支出决算总表</w:t>
      </w:r>
    </w:p>
    <w:p>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二、收入决算</w:t>
      </w:r>
      <w:r>
        <w:rPr>
          <w:rFonts w:hint="eastAsia" w:ascii="Times New Roman" w:hAnsi="Times New Roman" w:eastAsia="仿宋_GB2312" w:cs="Times New Roman"/>
          <w:sz w:val="32"/>
          <w:szCs w:val="32"/>
        </w:rPr>
        <w:t>表</w:t>
      </w:r>
    </w:p>
    <w:p>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三、支出决算</w:t>
      </w:r>
      <w:r>
        <w:rPr>
          <w:rFonts w:hint="eastAsia" w:ascii="Times New Roman" w:hAnsi="Times New Roman" w:eastAsia="仿宋_GB2312" w:cs="Times New Roman"/>
          <w:sz w:val="32"/>
          <w:szCs w:val="32"/>
        </w:rPr>
        <w:t>表</w:t>
      </w:r>
    </w:p>
    <w:p>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四、</w:t>
      </w:r>
      <w:r>
        <w:rPr>
          <w:rFonts w:hint="eastAsia" w:ascii="Times New Roman" w:hAnsi="Times New Roman" w:eastAsia="仿宋_GB2312" w:cs="Times New Roman"/>
          <w:sz w:val="32"/>
          <w:szCs w:val="32"/>
        </w:rPr>
        <w:t>财政拨款收入支出决算总表</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五、一般公共预算财政拨款支出决算表</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六、一般公共预算财政拨款基本支出决算明细表</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七、政府性基金预算财政拨款收入支出决算表</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八</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国有资本经营预算财政拨款支出决算表</w:t>
      </w:r>
    </w:p>
    <w:p>
      <w:pPr>
        <w:widowControl/>
        <w:spacing w:after="160" w:line="580" w:lineRule="exact"/>
        <w:ind w:left="640" w:firstLine="640" w:firstLineChars="200"/>
        <w:rPr>
          <w:rFonts w:ascii="Times New Roman" w:hAnsi="Times New Roman" w:eastAsia="仿宋_GB2312" w:cs="Times New Roman"/>
          <w:sz w:val="20"/>
          <w:szCs w:val="32"/>
        </w:rPr>
      </w:pPr>
      <w:r>
        <w:rPr>
          <w:rFonts w:hint="eastAsia" w:ascii="Times New Roman" w:hAnsi="Times New Roman" w:eastAsia="仿宋_GB2312" w:cs="Times New Roman"/>
          <w:sz w:val="32"/>
          <w:szCs w:val="32"/>
        </w:rPr>
        <w:t>九、财政拨款“三公”经费支出决算表</w:t>
      </w:r>
    </w:p>
    <w:p>
      <w:pPr>
        <w:widowControl/>
        <w:spacing w:after="160" w:line="58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 xml:space="preserve">第三部分   </w:t>
      </w:r>
      <w:r>
        <w:rPr>
          <w:rFonts w:hint="eastAsia" w:ascii="Times New Roman" w:hAnsi="Times New Roman" w:eastAsia="黑体" w:cs="Times New Roman"/>
          <w:sz w:val="32"/>
          <w:szCs w:val="32"/>
        </w:rPr>
        <w:t>2023年度</w:t>
      </w:r>
      <w:r>
        <w:rPr>
          <w:rFonts w:ascii="Times New Roman" w:hAnsi="Times New Roman" w:eastAsia="黑体" w:cs="Times New Roman"/>
          <w:sz w:val="32"/>
          <w:szCs w:val="32"/>
        </w:rPr>
        <w:t>部门决算情况说明</w:t>
      </w:r>
    </w:p>
    <w:p>
      <w:pPr>
        <w:widowControl/>
        <w:spacing w:after="160" w:line="580" w:lineRule="exact"/>
        <w:ind w:firstLine="1280" w:firstLineChars="400"/>
        <w:rPr>
          <w:rFonts w:ascii="Times New Roman" w:hAnsi="Times New Roman" w:eastAsia="仿宋_GB2312" w:cs="Times New Roman"/>
          <w:sz w:val="32"/>
          <w:szCs w:val="32"/>
        </w:rPr>
      </w:pPr>
      <w:r>
        <w:rPr>
          <w:rFonts w:ascii="Times New Roman" w:hAnsi="Times New Roman" w:eastAsia="仿宋_GB2312" w:cs="Times New Roman"/>
          <w:sz w:val="32"/>
          <w:szCs w:val="32"/>
        </w:rPr>
        <w:t>一、</w:t>
      </w:r>
      <w:r>
        <w:rPr>
          <w:rFonts w:hint="eastAsia" w:ascii="Times New Roman" w:hAnsi="Times New Roman" w:eastAsia="仿宋_GB2312" w:cs="Times New Roman"/>
          <w:sz w:val="32"/>
          <w:szCs w:val="32"/>
        </w:rPr>
        <w:t>收入支出决算总体情况说明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二、收入决算情况说明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三、支出决算情况说明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四、财政拨款收入支出决算总体情况说明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五、财政拨款“三公” 经费支出决算情况说明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六、机关运行经费支出说明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七、政府采购支出说明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八、国有资产占用情况说明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九、预算绩效情况说明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十、其他需要说明的情况</w:t>
      </w:r>
    </w:p>
    <w:p>
      <w:pPr>
        <w:widowControl/>
        <w:spacing w:after="160" w:line="580" w:lineRule="exact"/>
        <w:ind w:firstLine="640" w:firstLineChars="200"/>
        <w:rPr>
          <w:rFonts w:ascii="Times New Roman" w:hAnsi="Times New Roman" w:eastAsia="黑体" w:cs="Times New Roman"/>
          <w:sz w:val="32"/>
          <w:szCs w:val="32"/>
        </w:rPr>
        <w:sectPr>
          <w:headerReference r:id="rId4" w:type="first"/>
          <w:footerReference r:id="rId6" w:type="first"/>
          <w:headerReference r:id="rId3" w:type="default"/>
          <w:footerReference r:id="rId5" w:type="default"/>
          <w:pgSz w:w="11906" w:h="16838"/>
          <w:pgMar w:top="1474" w:right="1531" w:bottom="1474" w:left="1531" w:header="851" w:footer="992" w:gutter="0"/>
          <w:pgBorders>
            <w:top w:val="none" w:sz="0" w:space="0"/>
            <w:left w:val="none" w:sz="0" w:space="0"/>
            <w:bottom w:val="none" w:sz="0" w:space="0"/>
            <w:right w:val="none" w:sz="0" w:space="0"/>
          </w:pgBorders>
          <w:cols w:space="0" w:num="1"/>
          <w:titlePg/>
          <w:docGrid w:type="lines" w:linePitch="312" w:charSpace="0"/>
        </w:sectPr>
      </w:pPr>
      <w:r>
        <w:rPr>
          <w:rFonts w:ascii="Times New Roman" w:hAnsi="Times New Roman" w:eastAsia="黑体" w:cs="Times New Roman"/>
          <w:sz w:val="32"/>
          <w:szCs w:val="32"/>
        </w:rPr>
        <w:t>第</w:t>
      </w:r>
      <w:r>
        <w:rPr>
          <w:rFonts w:hint="eastAsia" w:ascii="Times New Roman" w:hAnsi="Times New Roman" w:eastAsia="黑体" w:cs="Times New Roman"/>
          <w:sz w:val="32"/>
          <w:szCs w:val="32"/>
        </w:rPr>
        <w:t>四</w:t>
      </w:r>
      <w:r>
        <w:rPr>
          <w:rFonts w:ascii="Times New Roman" w:hAnsi="Times New Roman" w:eastAsia="黑体" w:cs="Times New Roman"/>
          <w:sz w:val="32"/>
          <w:szCs w:val="32"/>
        </w:rPr>
        <w:t>部分</w:t>
      </w:r>
      <w:r>
        <w:rPr>
          <w:rFonts w:hint="eastAsia" w:ascii="Times New Roman" w:hAnsi="Times New Roman" w:eastAsia="黑体" w:cs="Times New Roman"/>
          <w:sz w:val="32"/>
          <w:szCs w:val="32"/>
        </w:rPr>
        <w:t xml:space="preserve">  </w:t>
      </w:r>
      <w:r>
        <w:rPr>
          <w:rFonts w:ascii="Times New Roman" w:hAnsi="Times New Roman" w:eastAsia="黑体" w:cs="Times New Roman"/>
          <w:sz w:val="32"/>
          <w:szCs w:val="32"/>
        </w:rPr>
        <w:t>名词解释</w:t>
      </w:r>
    </w:p>
    <w:p>
      <w:pPr>
        <w:rPr>
          <w:rFonts w:hint="default" w:ascii="Arial" w:hAnsi="Arial" w:eastAsia="Arial" w:cs="Arial"/>
          <w:i w:val="0"/>
          <w:iCs w:val="0"/>
          <w:caps w:val="0"/>
          <w:color w:val="000000"/>
          <w:spacing w:val="0"/>
          <w:sz w:val="18"/>
          <w:szCs w:val="18"/>
          <w:highlight w:val="none"/>
          <w:shd w:val="clear" w:fill="FFFFFF"/>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sz w:val="18"/>
          <w:szCs w:val="18"/>
          <w:highlight w:val="none"/>
          <w:shd w:val="clear" w:fill="FFFFFF"/>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黑体" w:hAnsi="宋体" w:eastAsia="黑体" w:cs="黑体"/>
          <w:i w:val="0"/>
          <w:iCs w:val="0"/>
          <w:caps w:val="0"/>
          <w:color w:val="000000"/>
          <w:spacing w:val="0"/>
          <w:sz w:val="72"/>
          <w:szCs w:val="72"/>
          <w:highlight w:val="none"/>
          <w:shd w:val="clear" w:fill="FFFFFF"/>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黑体" w:hAnsi="宋体" w:eastAsia="黑体" w:cs="黑体"/>
          <w:i w:val="0"/>
          <w:iCs w:val="0"/>
          <w:caps w:val="0"/>
          <w:color w:val="000000"/>
          <w:spacing w:val="0"/>
          <w:sz w:val="72"/>
          <w:szCs w:val="72"/>
          <w:highlight w:val="none"/>
          <w:shd w:val="clear" w:fill="FFFFFF"/>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黑体" w:hAnsi="宋体" w:eastAsia="黑体" w:cs="黑体"/>
          <w:i w:val="0"/>
          <w:iCs w:val="0"/>
          <w:caps w:val="0"/>
          <w:color w:val="000000"/>
          <w:spacing w:val="0"/>
          <w:sz w:val="72"/>
          <w:szCs w:val="72"/>
          <w:highlight w:val="none"/>
          <w:shd w:val="clear" w:fill="FFFFFF"/>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eastAsia" w:ascii="黑体" w:hAnsi="宋体" w:eastAsia="黑体" w:cs="黑体"/>
          <w:i w:val="0"/>
          <w:iCs w:val="0"/>
          <w:caps w:val="0"/>
          <w:color w:val="000000"/>
          <w:spacing w:val="0"/>
          <w:sz w:val="72"/>
          <w:szCs w:val="72"/>
          <w:highlight w:val="none"/>
          <w:shd w:val="clear" w:fill="FFFFFF"/>
        </w:rPr>
        <w:t xml:space="preserve">第一部分  </w:t>
      </w:r>
      <w:r>
        <w:rPr>
          <w:rFonts w:hint="eastAsia" w:ascii="黑体" w:hAnsi="宋体" w:eastAsia="黑体" w:cs="黑体"/>
          <w:i w:val="0"/>
          <w:iCs w:val="0"/>
          <w:caps w:val="0"/>
          <w:color w:val="000000"/>
          <w:spacing w:val="0"/>
          <w:sz w:val="72"/>
          <w:szCs w:val="72"/>
          <w:highlight w:val="none"/>
          <w:shd w:val="clear" w:fill="FFFFFF"/>
          <w:lang w:eastAsia="zh-CN"/>
        </w:rPr>
        <w:t>单位</w:t>
      </w:r>
      <w:r>
        <w:rPr>
          <w:rFonts w:hint="eastAsia" w:ascii="黑体" w:hAnsi="宋体" w:eastAsia="黑体" w:cs="黑体"/>
          <w:i w:val="0"/>
          <w:iCs w:val="0"/>
          <w:caps w:val="0"/>
          <w:color w:val="000000"/>
          <w:spacing w:val="0"/>
          <w:sz w:val="72"/>
          <w:szCs w:val="72"/>
          <w:highlight w:val="none"/>
          <w:shd w:val="clear" w:fill="FFFFFF"/>
        </w:rPr>
        <w:t>概况</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rPr>
          <w:rFonts w:hint="eastAsia" w:ascii="黑体" w:hAnsi="宋体" w:eastAsia="黑体" w:cs="黑体"/>
          <w:i w:val="0"/>
          <w:iCs w:val="0"/>
          <w:caps w:val="0"/>
          <w:color w:val="000000"/>
          <w:spacing w:val="0"/>
          <w:sz w:val="33"/>
          <w:szCs w:val="33"/>
          <w:highlight w:val="none"/>
          <w:shd w:val="clear" w:fill="FFFFFF"/>
        </w:rPr>
      </w:pPr>
      <w:r>
        <w:rPr>
          <w:rFonts w:hint="eastAsia" w:ascii="黑体" w:hAnsi="宋体" w:eastAsia="黑体" w:cs="黑体"/>
          <w:i w:val="0"/>
          <w:iCs w:val="0"/>
          <w:caps w:val="0"/>
          <w:color w:val="000000"/>
          <w:spacing w:val="0"/>
          <w:sz w:val="33"/>
          <w:szCs w:val="33"/>
          <w:highlight w:val="none"/>
          <w:shd w:val="clear" w:fill="FFFFFF"/>
        </w:rPr>
        <w:br w:type="page"/>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outlineLvl w:val="1"/>
        <w:rPr>
          <w:rFonts w:hint="default" w:ascii="Arial" w:hAnsi="Arial" w:eastAsia="Arial" w:cs="Arial"/>
          <w:i w:val="0"/>
          <w:iCs w:val="0"/>
          <w:caps w:val="0"/>
          <w:color w:val="000000"/>
          <w:spacing w:val="0"/>
          <w:sz w:val="32"/>
          <w:szCs w:val="32"/>
          <w:highlight w:val="none"/>
        </w:rPr>
      </w:pPr>
      <w:r>
        <w:rPr>
          <w:rFonts w:hint="eastAsia" w:ascii="黑体" w:hAnsi="宋体" w:eastAsia="黑体" w:cs="黑体"/>
          <w:i w:val="0"/>
          <w:iCs w:val="0"/>
          <w:caps w:val="0"/>
          <w:color w:val="000000"/>
          <w:spacing w:val="0"/>
          <w:sz w:val="32"/>
          <w:szCs w:val="32"/>
          <w:highlight w:val="none"/>
          <w:shd w:val="clear" w:fill="FFFFFF"/>
        </w:rPr>
        <w:t>一、</w:t>
      </w:r>
      <w:r>
        <w:rPr>
          <w:rFonts w:hint="eastAsia" w:ascii="黑体" w:hAnsi="宋体" w:eastAsia="黑体" w:cs="黑体"/>
          <w:i w:val="0"/>
          <w:iCs w:val="0"/>
          <w:caps w:val="0"/>
          <w:color w:val="000000"/>
          <w:spacing w:val="0"/>
          <w:sz w:val="32"/>
          <w:szCs w:val="32"/>
          <w:highlight w:val="none"/>
          <w:shd w:val="clear" w:fill="FFFFFF"/>
          <w:lang w:eastAsia="zh-CN"/>
        </w:rPr>
        <w:t>单位</w:t>
      </w:r>
      <w:r>
        <w:rPr>
          <w:rFonts w:hint="eastAsia" w:ascii="黑体" w:hAnsi="宋体" w:eastAsia="黑体" w:cs="黑体"/>
          <w:i w:val="0"/>
          <w:iCs w:val="0"/>
          <w:caps w:val="0"/>
          <w:color w:val="000000"/>
          <w:spacing w:val="0"/>
          <w:sz w:val="32"/>
          <w:szCs w:val="32"/>
          <w:highlight w:val="none"/>
          <w:shd w:val="clear" w:fill="FFFFFF"/>
        </w:rPr>
        <w:t>职责</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r>
        <w:rPr>
          <w:rFonts w:hint="eastAsia" w:ascii="Arial" w:hAnsi="Arial" w:eastAsia="宋体" w:cs="Arial"/>
          <w:i w:val="0"/>
          <w:iCs w:val="0"/>
          <w:caps w:val="0"/>
          <w:color w:val="000000"/>
          <w:spacing w:val="0"/>
          <w:sz w:val="18"/>
          <w:szCs w:val="18"/>
          <w:highlight w:val="none"/>
          <w:shd w:val="clear" w:fill="FFFFFF"/>
          <w:lang w:val="en-US" w:eastAsia="zh-CN"/>
        </w:rPr>
        <w:t xml:space="preserve">       </w:t>
      </w:r>
      <w:r>
        <w:rPr>
          <w:rFonts w:hint="eastAsia" w:ascii="仿宋" w:hAnsi="仿宋" w:eastAsia="仿宋" w:cs="仿宋"/>
          <w:sz w:val="32"/>
          <w:szCs w:val="32"/>
        </w:rPr>
        <w:t>开展全市科普宣传教育工作，策划组织各种科普宣传活动 ，制发、发放各类科普宣传资料，对科技人员进行继续教育。</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outlineLvl w:val="1"/>
        <w:rPr>
          <w:rFonts w:hint="default" w:ascii="Arial" w:hAnsi="Arial" w:eastAsia="Arial" w:cs="Arial"/>
          <w:i w:val="0"/>
          <w:iCs w:val="0"/>
          <w:caps w:val="0"/>
          <w:color w:val="000000"/>
          <w:spacing w:val="0"/>
          <w:sz w:val="32"/>
          <w:szCs w:val="32"/>
          <w:highlight w:val="none"/>
        </w:rPr>
      </w:pPr>
      <w:r>
        <w:rPr>
          <w:rFonts w:hint="eastAsia" w:ascii="黑体" w:hAnsi="宋体" w:eastAsia="黑体" w:cs="黑体"/>
          <w:i w:val="0"/>
          <w:iCs w:val="0"/>
          <w:caps w:val="0"/>
          <w:color w:val="000000"/>
          <w:spacing w:val="0"/>
          <w:sz w:val="32"/>
          <w:szCs w:val="32"/>
          <w:highlight w:val="none"/>
          <w:shd w:val="clear" w:fill="FFFFFF"/>
        </w:rPr>
        <w:t>二、机构设置</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20" w:firstLineChars="100"/>
        <w:jc w:val="left"/>
        <w:rPr>
          <w:rFonts w:hint="default" w:ascii="仿宋" w:hAnsi="仿宋" w:eastAsia="仿宋" w:cs="仿宋"/>
          <w:sz w:val="32"/>
          <w:szCs w:val="32"/>
        </w:rPr>
      </w:pPr>
      <w:r>
        <w:rPr>
          <w:rFonts w:hint="default" w:ascii="仿宋" w:hAnsi="仿宋" w:eastAsia="仿宋" w:cs="仿宋"/>
          <w:sz w:val="32"/>
          <w:szCs w:val="32"/>
        </w:rPr>
        <w:t>从决算编报</w:t>
      </w:r>
      <w:r>
        <w:rPr>
          <w:rFonts w:hint="eastAsia" w:ascii="仿宋" w:hAnsi="仿宋" w:eastAsia="仿宋" w:cs="仿宋"/>
          <w:sz w:val="32"/>
          <w:szCs w:val="32"/>
          <w:lang w:val="en-US" w:eastAsia="zh-CN"/>
        </w:rPr>
        <w:t>单位</w:t>
      </w:r>
      <w:r>
        <w:rPr>
          <w:rFonts w:hint="default" w:ascii="仿宋" w:hAnsi="仿宋" w:eastAsia="仿宋" w:cs="仿宋"/>
          <w:sz w:val="32"/>
          <w:szCs w:val="32"/>
        </w:rPr>
        <w:t>构成看，纳入</w:t>
      </w:r>
      <w:r>
        <w:rPr>
          <w:rFonts w:hint="eastAsia" w:ascii="仿宋" w:hAnsi="仿宋" w:eastAsia="仿宋" w:cs="仿宋"/>
          <w:sz w:val="32"/>
          <w:szCs w:val="32"/>
          <w:lang w:val="en-US" w:eastAsia="zh-CN"/>
        </w:rPr>
        <w:t>2023</w:t>
      </w:r>
      <w:r>
        <w:rPr>
          <w:rFonts w:hint="default" w:ascii="仿宋" w:hAnsi="仿宋" w:eastAsia="仿宋" w:cs="仿宋"/>
          <w:sz w:val="32"/>
          <w:szCs w:val="32"/>
        </w:rPr>
        <w:t>年度</w:t>
      </w:r>
      <w:r>
        <w:rPr>
          <w:rFonts w:hint="eastAsia" w:ascii="仿宋" w:hAnsi="仿宋" w:eastAsia="仿宋" w:cs="仿宋"/>
          <w:sz w:val="32"/>
          <w:szCs w:val="32"/>
          <w:lang w:val="en-US" w:eastAsia="zh-CN"/>
        </w:rPr>
        <w:t>本部门</w:t>
      </w:r>
      <w:r>
        <w:rPr>
          <w:rFonts w:hint="default" w:ascii="仿宋" w:hAnsi="仿宋" w:eastAsia="仿宋" w:cs="仿宋"/>
          <w:sz w:val="32"/>
          <w:szCs w:val="32"/>
        </w:rPr>
        <w:t>决算汇编范围的独立核算</w:t>
      </w:r>
      <w:r>
        <w:rPr>
          <w:rFonts w:hint="eastAsia" w:ascii="仿宋" w:hAnsi="仿宋" w:eastAsia="仿宋" w:cs="仿宋"/>
          <w:sz w:val="32"/>
          <w:szCs w:val="32"/>
          <w:lang w:val="en-US" w:eastAsia="zh-CN"/>
        </w:rPr>
        <w:t>单位</w:t>
      </w:r>
      <w:r>
        <w:rPr>
          <w:rFonts w:hint="default" w:ascii="仿宋" w:hAnsi="仿宋" w:eastAsia="仿宋" w:cs="仿宋"/>
          <w:sz w:val="32"/>
          <w:szCs w:val="32"/>
        </w:rPr>
        <w:t>（以下简称“</w:t>
      </w:r>
      <w:r>
        <w:rPr>
          <w:rFonts w:hint="eastAsia" w:ascii="仿宋" w:hAnsi="仿宋" w:eastAsia="仿宋" w:cs="仿宋"/>
          <w:sz w:val="32"/>
          <w:szCs w:val="32"/>
          <w:lang w:val="en-US" w:eastAsia="zh-CN"/>
        </w:rPr>
        <w:t>单位</w:t>
      </w:r>
      <w:r>
        <w:rPr>
          <w:rFonts w:hint="default" w:ascii="仿宋" w:hAnsi="仿宋" w:eastAsia="仿宋" w:cs="仿宋"/>
          <w:sz w:val="32"/>
          <w:szCs w:val="32"/>
        </w:rPr>
        <w:t xml:space="preserve">”）共 </w:t>
      </w:r>
      <w:r>
        <w:rPr>
          <w:rFonts w:hint="eastAsia" w:ascii="仿宋" w:hAnsi="仿宋" w:eastAsia="仿宋" w:cs="仿宋"/>
          <w:sz w:val="32"/>
          <w:szCs w:val="32"/>
          <w:lang w:val="en-US" w:eastAsia="zh-CN"/>
        </w:rPr>
        <w:t>1</w:t>
      </w:r>
      <w:r>
        <w:rPr>
          <w:rFonts w:hint="default" w:ascii="仿宋" w:hAnsi="仿宋" w:eastAsia="仿宋" w:cs="仿宋"/>
          <w:sz w:val="32"/>
          <w:szCs w:val="32"/>
        </w:rPr>
        <w:t>个，具体情况如下：</w:t>
      </w:r>
    </w:p>
    <w:tbl>
      <w:tblPr>
        <w:tblStyle w:val="11"/>
        <w:tblpPr w:leftFromText="180" w:rightFromText="180" w:vertAnchor="text" w:horzAnchor="page" w:tblpXSpec="center" w:tblpY="10"/>
        <w:tblOverlap w:val="never"/>
        <w:tblW w:w="958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11" w:hRule="atLeast"/>
          <w:jc w:val="center"/>
        </w:trPr>
        <w:tc>
          <w:tcPr>
            <w:tcW w:w="985" w:type="dxa"/>
            <w:vAlign w:val="center"/>
          </w:tcPr>
          <w:p>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序号</w:t>
            </w:r>
          </w:p>
        </w:tc>
        <w:tc>
          <w:tcPr>
            <w:tcW w:w="3485" w:type="dxa"/>
            <w:vAlign w:val="center"/>
          </w:tcPr>
          <w:p>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单位名称</w:t>
            </w:r>
          </w:p>
        </w:tc>
        <w:tc>
          <w:tcPr>
            <w:tcW w:w="2445" w:type="dxa"/>
            <w:vAlign w:val="center"/>
          </w:tcPr>
          <w:p>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单位基本性质</w:t>
            </w:r>
          </w:p>
        </w:tc>
        <w:tc>
          <w:tcPr>
            <w:tcW w:w="2665" w:type="dxa"/>
            <w:vAlign w:val="center"/>
          </w:tcPr>
          <w:p>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经费形式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6" w:hRule="atLeast"/>
          <w:jc w:val="center"/>
        </w:trPr>
        <w:tc>
          <w:tcPr>
            <w:tcW w:w="985" w:type="dxa"/>
          </w:tcPr>
          <w:p>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1</w:t>
            </w:r>
          </w:p>
        </w:tc>
        <w:tc>
          <w:tcPr>
            <w:tcW w:w="3485" w:type="dxa"/>
          </w:tcPr>
          <w:p>
            <w:pPr>
              <w:spacing w:line="560" w:lineRule="exact"/>
              <w:jc w:val="center"/>
              <w:rPr>
                <w:rFonts w:hint="eastAsia" w:ascii="仿宋_GB2312" w:hAnsi="Calibri" w:eastAsia="仿宋_GB2312" w:cs="ArialUnicodeMS"/>
                <w:kern w:val="0"/>
                <w:sz w:val="24"/>
                <w:szCs w:val="24"/>
                <w:lang w:eastAsia="zh-CN"/>
              </w:rPr>
            </w:pPr>
            <w:r>
              <w:rPr>
                <w:rFonts w:hint="eastAsia" w:ascii="仿宋" w:hAnsi="仿宋" w:eastAsia="仿宋" w:cs="仿宋"/>
                <w:kern w:val="0"/>
                <w:sz w:val="28"/>
                <w:szCs w:val="28"/>
                <w:lang w:eastAsia="zh-CN"/>
              </w:rPr>
              <w:t>衡水市科普宣传教育中心</w:t>
            </w:r>
          </w:p>
        </w:tc>
        <w:tc>
          <w:tcPr>
            <w:tcW w:w="2445" w:type="dxa"/>
          </w:tcPr>
          <w:p>
            <w:pPr>
              <w:spacing w:line="560" w:lineRule="exact"/>
              <w:jc w:val="center"/>
              <w:rPr>
                <w:rFonts w:hint="eastAsia" w:ascii="仿宋_GB2312" w:hAnsi="Calibri" w:eastAsia="仿宋_GB2312" w:cs="ArialUnicodeMS"/>
                <w:kern w:val="0"/>
                <w:sz w:val="24"/>
                <w:szCs w:val="24"/>
                <w:lang w:eastAsia="zh-CN"/>
              </w:rPr>
            </w:pPr>
            <w:r>
              <w:rPr>
                <w:rFonts w:hint="eastAsia" w:ascii="仿宋_GB2312" w:hAnsi="Calibri" w:eastAsia="仿宋_GB2312" w:cs="ArialUnicodeMS"/>
                <w:kern w:val="0"/>
                <w:sz w:val="24"/>
                <w:szCs w:val="24"/>
                <w:lang w:eastAsia="zh-CN"/>
              </w:rPr>
              <w:t>财政补助事业单位</w:t>
            </w:r>
          </w:p>
        </w:tc>
        <w:tc>
          <w:tcPr>
            <w:tcW w:w="2665" w:type="dxa"/>
          </w:tcPr>
          <w:p>
            <w:pPr>
              <w:spacing w:line="560" w:lineRule="exact"/>
              <w:jc w:val="center"/>
              <w:rPr>
                <w:rFonts w:hint="eastAsia" w:ascii="仿宋_GB2312" w:hAnsi="Calibri" w:eastAsia="仿宋_GB2312" w:cs="ArialUnicodeMS"/>
                <w:kern w:val="0"/>
                <w:sz w:val="24"/>
                <w:szCs w:val="24"/>
                <w:lang w:eastAsia="zh-CN"/>
              </w:rPr>
            </w:pPr>
            <w:r>
              <w:rPr>
                <w:rFonts w:hint="eastAsia" w:ascii="仿宋_GB2312" w:hAnsi="Calibri" w:eastAsia="仿宋_GB2312" w:cs="ArialUnicodeMS"/>
                <w:kern w:val="0"/>
                <w:sz w:val="24"/>
                <w:szCs w:val="24"/>
                <w:lang w:eastAsia="zh-CN"/>
              </w:rPr>
              <w:t>财政性资金基本保证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6" w:hRule="atLeast"/>
          <w:jc w:val="center"/>
        </w:trPr>
        <w:tc>
          <w:tcPr>
            <w:tcW w:w="9580" w:type="dxa"/>
            <w:gridSpan w:val="4"/>
            <w:tcBorders>
              <w:top w:val="single" w:color="auto" w:sz="4" w:space="0"/>
              <w:left w:val="nil"/>
              <w:bottom w:val="nil"/>
              <w:right w:val="nil"/>
            </w:tcBorders>
          </w:tcPr>
          <w:p>
            <w:pPr>
              <w:spacing w:line="560" w:lineRule="exact"/>
              <w:jc w:val="left"/>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注：1、单位基本性质分为行政单位、参公事业单位、财政补助事业单位、经费自理事业单位四类。</w:t>
            </w:r>
          </w:p>
          <w:p>
            <w:pPr>
              <w:spacing w:line="560" w:lineRule="exact"/>
              <w:ind w:firstLine="560" w:firstLineChars="200"/>
              <w:jc w:val="left"/>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2、经费形式分为财政拨款、财政性资金基本保证、财政性资金定额或定项补助、财政性资金零补助四类。</w:t>
            </w:r>
          </w:p>
        </w:tc>
      </w:tr>
    </w:tbl>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rPr>
          <w:rFonts w:hint="eastAsia" w:ascii="Times New Roman" w:hAnsi="Times New Roman" w:eastAsia="黑体" w:cs="Times New Roman"/>
          <w:sz w:val="32"/>
          <w:szCs w:val="32"/>
          <w:highlight w:val="yellow"/>
        </w:rPr>
      </w:pPr>
      <w:r>
        <w:rPr>
          <w:rFonts w:hint="eastAsia" w:ascii="Times New Roman" w:hAnsi="Times New Roman" w:eastAsia="黑体" w:cs="Times New Roman"/>
          <w:sz w:val="32"/>
          <w:szCs w:val="32"/>
          <w:highlight w:val="yellow"/>
        </w:rPr>
        <w:br w:type="page"/>
      </w:r>
    </w:p>
    <w:p>
      <w:pPr>
        <w:widowControl/>
        <w:spacing w:after="160" w:line="580" w:lineRule="exact"/>
        <w:ind w:firstLine="640" w:firstLineChars="200"/>
        <w:rPr>
          <w:rFonts w:hint="eastAsia" w:ascii="Times New Roman" w:hAnsi="Times New Roman" w:eastAsia="黑体" w:cs="Times New Roman"/>
          <w:sz w:val="32"/>
          <w:szCs w:val="32"/>
          <w:highlight w:val="yellow"/>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kern w:val="0"/>
          <w:sz w:val="18"/>
          <w:szCs w:val="18"/>
          <w:highlight w:val="none"/>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highlight w:val="none"/>
        </w:rPr>
      </w:pPr>
      <w:r>
        <w:rPr>
          <w:rFonts w:hint="default" w:ascii="Arial" w:hAnsi="Arial" w:eastAsia="Arial" w:cs="Arial"/>
          <w:i w:val="0"/>
          <w:iCs w:val="0"/>
          <w:caps w:val="0"/>
          <w:color w:val="000000"/>
          <w:spacing w:val="0"/>
          <w:kern w:val="0"/>
          <w:sz w:val="18"/>
          <w:szCs w:val="18"/>
          <w:highlight w:val="none"/>
          <w:shd w:val="clear" w:fill="FFFFFF"/>
          <w:lang w:val="en-US" w:eastAsia="zh-CN" w:bidi="ar"/>
        </w:rPr>
        <w:t> </w:t>
      </w: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outlineLvl w:val="0"/>
        <w:rPr>
          <w:rFonts w:hint="default" w:ascii="Arial" w:hAnsi="Arial" w:eastAsia="Arial" w:cs="Arial"/>
          <w:highlight w:val="none"/>
        </w:rPr>
      </w:pPr>
      <w:r>
        <w:rPr>
          <w:rFonts w:hint="eastAsia" w:ascii="黑体" w:hAnsi="宋体" w:eastAsia="黑体" w:cs="黑体"/>
          <w:i w:val="0"/>
          <w:iCs w:val="0"/>
          <w:caps w:val="0"/>
          <w:color w:val="000000"/>
          <w:spacing w:val="0"/>
          <w:sz w:val="72"/>
          <w:szCs w:val="72"/>
          <w:highlight w:val="none"/>
          <w:shd w:val="clear" w:fill="FFFFFF"/>
        </w:rPr>
        <w:t>第二部分</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eastAsia" w:ascii="黑体" w:hAnsi="宋体" w:eastAsia="黑体" w:cs="黑体"/>
          <w:i w:val="0"/>
          <w:iCs w:val="0"/>
          <w:caps w:val="0"/>
          <w:color w:val="000000"/>
          <w:spacing w:val="0"/>
          <w:sz w:val="72"/>
          <w:szCs w:val="72"/>
          <w:highlight w:val="none"/>
          <w:shd w:val="clear" w:fill="FFFFFF"/>
          <w:lang w:val="en-US" w:eastAsia="zh-CN"/>
        </w:rPr>
        <w:t>2023</w:t>
      </w:r>
      <w:r>
        <w:rPr>
          <w:rFonts w:hint="eastAsia" w:ascii="黑体" w:hAnsi="宋体" w:eastAsia="黑体" w:cs="黑体"/>
          <w:i w:val="0"/>
          <w:iCs w:val="0"/>
          <w:caps w:val="0"/>
          <w:color w:val="000000"/>
          <w:spacing w:val="0"/>
          <w:sz w:val="72"/>
          <w:szCs w:val="72"/>
          <w:highlight w:val="none"/>
          <w:shd w:val="clear" w:fill="FFFFFF"/>
        </w:rPr>
        <w:t>年</w:t>
      </w:r>
      <w:r>
        <w:rPr>
          <w:rFonts w:hint="eastAsia" w:ascii="黑体" w:hAnsi="宋体" w:eastAsia="黑体" w:cs="黑体"/>
          <w:i w:val="0"/>
          <w:iCs w:val="0"/>
          <w:caps w:val="0"/>
          <w:color w:val="000000"/>
          <w:spacing w:val="0"/>
          <w:sz w:val="72"/>
          <w:szCs w:val="72"/>
          <w:highlight w:val="none"/>
          <w:shd w:val="clear" w:fill="FFFFFF"/>
          <w:lang w:val="en-US" w:eastAsia="zh-CN"/>
        </w:rPr>
        <w:t>度</w:t>
      </w:r>
      <w:r>
        <w:rPr>
          <w:rFonts w:hint="eastAsia" w:ascii="黑体" w:hAnsi="宋体" w:eastAsia="黑体" w:cs="黑体"/>
          <w:i w:val="0"/>
          <w:iCs w:val="0"/>
          <w:caps w:val="0"/>
          <w:color w:val="000000"/>
          <w:spacing w:val="0"/>
          <w:sz w:val="72"/>
          <w:szCs w:val="72"/>
          <w:highlight w:val="none"/>
          <w:shd w:val="clear" w:fill="FFFFFF"/>
        </w:rPr>
        <w:t>部门决算报表</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仿宋_GB2312" w:hAnsi="仿宋_GB2312" w:eastAsia="仿宋_GB2312" w:cs="仿宋_GB2312"/>
          <w:i w:val="0"/>
          <w:iCs w:val="0"/>
          <w:caps w:val="0"/>
          <w:color w:val="FF0000"/>
          <w:spacing w:val="0"/>
          <w:sz w:val="33"/>
          <w:szCs w:val="33"/>
          <w:highlight w:val="none"/>
          <w:shd w:val="clear" w:fill="FFFFFF"/>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仿宋_GB2312" w:hAnsi="仿宋_GB2312" w:eastAsia="仿宋_GB2312" w:cs="仿宋_GB2312"/>
          <w:i w:val="0"/>
          <w:iCs w:val="0"/>
          <w:caps w:val="0"/>
          <w:color w:val="FF0000"/>
          <w:spacing w:val="0"/>
          <w:sz w:val="33"/>
          <w:szCs w:val="33"/>
          <w:highlight w:val="none"/>
          <w:shd w:val="clear" w:fill="FFFFFF"/>
        </w:rPr>
        <w:sectPr>
          <w:headerReference r:id="rId7" w:type="default"/>
          <w:pgSz w:w="11906" w:h="16838"/>
          <w:pgMar w:top="1531" w:right="1984" w:bottom="1531" w:left="2098" w:header="851" w:footer="992" w:gutter="0"/>
          <w:pgBorders>
            <w:top w:val="none" w:sz="0" w:space="0"/>
            <w:left w:val="none" w:sz="0" w:space="0"/>
            <w:bottom w:val="none" w:sz="0" w:space="0"/>
            <w:right w:val="none" w:sz="0" w:space="0"/>
          </w:pgBorders>
          <w:cols w:space="720" w:num="1"/>
          <w:docGrid w:type="lines" w:linePitch="312" w:charSpace="0"/>
        </w:sectPr>
      </w:pPr>
    </w:p>
    <w:tbl>
      <w:tblPr>
        <w:tblStyle w:val="11"/>
        <w:tblW w:w="11659" w:type="dxa"/>
        <w:tblInd w:w="-18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346"/>
        <w:gridCol w:w="624"/>
        <w:gridCol w:w="611"/>
        <w:gridCol w:w="1317"/>
        <w:gridCol w:w="1628"/>
        <w:gridCol w:w="1547"/>
        <w:gridCol w:w="624"/>
        <w:gridCol w:w="1928"/>
        <w:gridCol w:w="3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361" w:hRule="atLeast"/>
        </w:trPr>
        <w:tc>
          <w:tcPr>
            <w:tcW w:w="11625" w:type="dxa"/>
            <w:gridSpan w:val="8"/>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收入支出决算总表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357" w:hRule="atLeast"/>
        </w:trPr>
        <w:tc>
          <w:tcPr>
            <w:tcW w:w="11625" w:type="dxa"/>
            <w:gridSpan w:val="8"/>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公开</w:t>
            </w:r>
            <w:r>
              <w:rPr>
                <w:rFonts w:hint="eastAsia" w:ascii="Times New Roman" w:hAnsi="Times New Roman" w:eastAsia="宋体" w:cs="Times New Roman"/>
                <w:i w:val="0"/>
                <w:iCs w:val="0"/>
                <w:color w:val="000000"/>
                <w:sz w:val="20"/>
                <w:szCs w:val="20"/>
                <w:highlight w:val="none"/>
                <w:u w:val="none"/>
                <w:lang w:val="en-US" w:eastAsia="zh-CN"/>
              </w:rPr>
              <w:t>01</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351" w:hRule="atLeast"/>
        </w:trPr>
        <w:tc>
          <w:tcPr>
            <w:tcW w:w="4581" w:type="dxa"/>
            <w:gridSpan w:val="3"/>
            <w:tcBorders>
              <w:top w:val="nil"/>
              <w:left w:val="nil"/>
              <w:bottom w:val="single" w:color="auto" w:sz="4" w:space="0"/>
              <w:right w:val="nil"/>
            </w:tcBorders>
            <w:noWrap/>
            <w:vAlign w:val="bottom"/>
          </w:tcPr>
          <w:p>
            <w:pPr>
              <w:jc w:val="both"/>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编制部门（单位）：衡水市科普宣传教育中心</w:t>
            </w:r>
          </w:p>
        </w:tc>
        <w:tc>
          <w:tcPr>
            <w:tcW w:w="2945" w:type="dxa"/>
            <w:gridSpan w:val="2"/>
            <w:tcBorders>
              <w:top w:val="nil"/>
              <w:left w:val="nil"/>
              <w:bottom w:val="single" w:color="auto" w:sz="4" w:space="0"/>
              <w:right w:val="nil"/>
            </w:tcBorders>
            <w:noWrap/>
            <w:vAlign w:val="bottom"/>
          </w:tcPr>
          <w:p>
            <w:pPr>
              <w:jc w:val="center"/>
              <w:rPr>
                <w:rFonts w:hint="default" w:ascii="宋体" w:hAnsi="宋体" w:eastAsia="宋体" w:cs="宋体"/>
                <w:i w:val="0"/>
                <w:iCs w:val="0"/>
                <w:color w:val="000000"/>
                <w:kern w:val="0"/>
                <w:sz w:val="20"/>
                <w:szCs w:val="20"/>
                <w:highlight w:val="none"/>
                <w:u w:val="none"/>
                <w:lang w:val="en-US" w:eastAsia="zh-CN" w:bidi="ar"/>
              </w:rPr>
            </w:pPr>
            <w:r>
              <w:rPr>
                <w:rFonts w:hint="eastAsia" w:ascii="Times New Roman" w:hAnsi="Times New Roman" w:eastAsia="宋体" w:cs="Times New Roman"/>
                <w:i w:val="0"/>
                <w:iCs w:val="0"/>
                <w:color w:val="000000"/>
                <w:sz w:val="20"/>
                <w:szCs w:val="20"/>
                <w:highlight w:val="none"/>
                <w:u w:val="none"/>
                <w:lang w:val="en-US" w:eastAsia="zh-CN"/>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4099" w:type="dxa"/>
            <w:gridSpan w:val="3"/>
            <w:tcBorders>
              <w:top w:val="nil"/>
              <w:left w:val="nil"/>
              <w:bottom w:val="single" w:color="auto" w:sz="4" w:space="0"/>
              <w:right w:val="nil"/>
            </w:tcBorders>
            <w:noWrap/>
            <w:vAlign w:val="bottom"/>
          </w:tcPr>
          <w:p>
            <w:pPr>
              <w:jc w:val="right"/>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544" w:hRule="atLeast"/>
        </w:trPr>
        <w:tc>
          <w:tcPr>
            <w:tcW w:w="5898" w:type="dxa"/>
            <w:gridSpan w:val="4"/>
            <w:tcBorders>
              <w:top w:val="single" w:color="auto"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收入</w:t>
            </w:r>
          </w:p>
        </w:tc>
        <w:tc>
          <w:tcPr>
            <w:tcW w:w="5727" w:type="dxa"/>
            <w:gridSpan w:val="4"/>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308"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192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决算数</w:t>
            </w: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1928"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决算数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624" w:type="dxa"/>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192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Times New Roman" w:hAnsi="Times New Roman" w:eastAsia="宋体" w:cs="Times New Roman"/>
                <w:i w:val="0"/>
                <w:iCs w:val="0"/>
                <w:color w:val="000000"/>
                <w:sz w:val="20"/>
                <w:szCs w:val="20"/>
                <w:highlight w:val="none"/>
                <w:u w:val="none"/>
                <w:lang w:val="en-US" w:eastAsia="zh-CN"/>
              </w:rPr>
              <w:t>1</w:t>
            </w: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624" w:type="dxa"/>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1928"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Times New Roman" w:hAnsi="Times New Roman" w:eastAsia="宋体" w:cs="Times New Roman"/>
                <w:i w:val="0"/>
                <w:iCs w:val="0"/>
                <w:color w:val="000000"/>
                <w:sz w:val="20"/>
                <w:szCs w:val="20"/>
                <w:highlight w:val="none"/>
                <w:u w:val="none"/>
                <w:lang w:val="en-US" w:eastAsia="zh-CN"/>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一、一般公共预算财政拨款收入</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宋体" w:hAnsi="宋体" w:eastAsia="宋体" w:cs="宋体"/>
                <w:i w:val="0"/>
                <w:iCs w:val="0"/>
                <w:color w:val="000000"/>
                <w:sz w:val="20"/>
                <w:szCs w:val="20"/>
                <w:highlight w:val="none"/>
                <w:u w:val="none"/>
                <w:lang w:val="en-US" w:eastAsia="zh-CN"/>
              </w:rPr>
              <w:t>1</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141.20</w:t>
            </w: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一、一般公共服务支出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32</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二、政府性基金预算财政拨款收入</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二、外交支出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33</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三、国有资本经营预算财政拨款收入</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三、国防支出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34</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四、上级补助收入</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四、公共安全支出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35</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五、事业收入</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五、教育支出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36</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六、经营收入</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六、科学技术支出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37</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97.84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七、附属单位上缴收入</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七、文化旅游体育与传媒支出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38</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八、其他收入</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八、社会保障和就业支出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39</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28.13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九、卫生健康支出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40</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4.90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十、节能环保支出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41</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十一、城乡社区支出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42</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12</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十二、农林水支出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43</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13</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十三、交通运输支出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44</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auto"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auto"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14</w:t>
            </w:r>
          </w:p>
        </w:tc>
        <w:tc>
          <w:tcPr>
            <w:tcW w:w="1928" w:type="dxa"/>
            <w:gridSpan w:val="2"/>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auto"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十四、资源勘探工业信息等支出</w:t>
            </w:r>
          </w:p>
        </w:tc>
        <w:tc>
          <w:tcPr>
            <w:tcW w:w="624" w:type="dxa"/>
            <w:tcBorders>
              <w:top w:val="nil"/>
              <w:left w:val="nil"/>
              <w:bottom w:val="single" w:color="auto"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45</w:t>
            </w:r>
          </w:p>
        </w:tc>
        <w:tc>
          <w:tcPr>
            <w:tcW w:w="1928" w:type="dxa"/>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15</w:t>
            </w:r>
          </w:p>
        </w:tc>
        <w:tc>
          <w:tcPr>
            <w:tcW w:w="1928"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十五、商业服务业等支出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46</w:t>
            </w:r>
          </w:p>
        </w:tc>
        <w:tc>
          <w:tcPr>
            <w:tcW w:w="192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16</w:t>
            </w:r>
          </w:p>
        </w:tc>
        <w:tc>
          <w:tcPr>
            <w:tcW w:w="1928"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十六、金融支出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47</w:t>
            </w:r>
          </w:p>
        </w:tc>
        <w:tc>
          <w:tcPr>
            <w:tcW w:w="192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17</w:t>
            </w:r>
          </w:p>
        </w:tc>
        <w:tc>
          <w:tcPr>
            <w:tcW w:w="1928"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十七、援助其他地区支出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48</w:t>
            </w:r>
          </w:p>
        </w:tc>
        <w:tc>
          <w:tcPr>
            <w:tcW w:w="192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18</w:t>
            </w:r>
          </w:p>
        </w:tc>
        <w:tc>
          <w:tcPr>
            <w:tcW w:w="1928"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十八、自然资源海洋气象等支出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49</w:t>
            </w:r>
          </w:p>
        </w:tc>
        <w:tc>
          <w:tcPr>
            <w:tcW w:w="192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19</w:t>
            </w:r>
          </w:p>
        </w:tc>
        <w:tc>
          <w:tcPr>
            <w:tcW w:w="1928"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十九、住房保障支出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50</w:t>
            </w:r>
          </w:p>
        </w:tc>
        <w:tc>
          <w:tcPr>
            <w:tcW w:w="192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10.33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20</w:t>
            </w:r>
          </w:p>
        </w:tc>
        <w:tc>
          <w:tcPr>
            <w:tcW w:w="1928"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二十、粮油物资储备支出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51</w:t>
            </w:r>
          </w:p>
        </w:tc>
        <w:tc>
          <w:tcPr>
            <w:tcW w:w="192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single" w:color="auto" w:sz="4" w:space="0"/>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21</w:t>
            </w:r>
          </w:p>
        </w:tc>
        <w:tc>
          <w:tcPr>
            <w:tcW w:w="1928" w:type="dxa"/>
            <w:gridSpan w:val="2"/>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二十一、国有资本经营预算支出</w:t>
            </w:r>
          </w:p>
        </w:tc>
        <w:tc>
          <w:tcPr>
            <w:tcW w:w="624" w:type="dxa"/>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52</w:t>
            </w:r>
          </w:p>
        </w:tc>
        <w:tc>
          <w:tcPr>
            <w:tcW w:w="1928" w:type="dxa"/>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22</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二十二、灾害防治及应急管理支出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53</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23</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二十三、其他支出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54</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24</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二十四、债务还本支出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55</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25</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二十五、债务付息支出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56</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26</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二十六、抗疫特别国债安排的支出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57</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本年收入合计</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27</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141.20</w:t>
            </w: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本年支出合计</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58</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141.20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使用非财政拨款结余（含专用结余）</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28</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结余分配</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59</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年初结转和结余</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29</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年末结转和结余</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60</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30</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61</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308"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31</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141.20</w:t>
            </w: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62</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141.20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1659" w:type="dxa"/>
            <w:gridSpan w:val="9"/>
            <w:tcBorders>
              <w:top w:val="nil"/>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注：1.本表反映部门本年度的总收支和年末结转结余情况。2.本套报表金额转换时可能存在尾数误差。</w:t>
            </w:r>
          </w:p>
        </w:tc>
      </w:tr>
    </w:tbl>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pPr>
        <w:keepNext w:val="0"/>
        <w:keepLines w:val="0"/>
        <w:widowControl/>
        <w:suppressLineNumbers w:val="0"/>
        <w:jc w:val="center"/>
        <w:textAlignment w:val="bottom"/>
        <w:rPr>
          <w:rFonts w:hint="eastAsia" w:ascii="黑体" w:hAnsi="黑体" w:eastAsia="黑体" w:cs="宋体"/>
          <w:bCs/>
          <w:kern w:val="0"/>
          <w:sz w:val="32"/>
          <w:szCs w:val="32"/>
          <w:highlight w:val="none"/>
        </w:rPr>
      </w:pPr>
    </w:p>
    <w:tbl>
      <w:tblPr>
        <w:tblStyle w:val="11"/>
        <w:tblW w:w="9230"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0"/>
        <w:gridCol w:w="1160"/>
        <w:gridCol w:w="1037"/>
        <w:gridCol w:w="1037"/>
        <w:gridCol w:w="1037"/>
        <w:gridCol w:w="964"/>
        <w:gridCol w:w="367"/>
        <w:gridCol w:w="597"/>
        <w:gridCol w:w="1027"/>
        <w:gridCol w:w="96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50" w:hRule="atLeast"/>
          <w:jc w:val="center"/>
        </w:trPr>
        <w:tc>
          <w:tcPr>
            <w:tcW w:w="9230" w:type="dxa"/>
            <w:gridSpan w:val="10"/>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收入决算表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jc w:val="center"/>
        </w:trPr>
        <w:tc>
          <w:tcPr>
            <w:tcW w:w="9230" w:type="dxa"/>
            <w:gridSpan w:val="10"/>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eastAsia" w:ascii="Times New Roman" w:hAnsi="Times New Roman" w:eastAsia="宋体" w:cs="Times New Roman"/>
                <w:i w:val="0"/>
                <w:iCs w:val="0"/>
                <w:color w:val="000000"/>
                <w:sz w:val="20"/>
                <w:szCs w:val="20"/>
                <w:highlight w:val="none"/>
                <w:u w:val="none"/>
                <w:lang w:val="en-US" w:eastAsia="zh-CN"/>
              </w:rPr>
              <w:t>02</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jc w:val="center"/>
        </w:trPr>
        <w:tc>
          <w:tcPr>
            <w:tcW w:w="3237" w:type="dxa"/>
            <w:gridSpan w:val="3"/>
            <w:tcBorders>
              <w:top w:val="nil"/>
              <w:left w:val="nil"/>
              <w:bottom w:val="single" w:color="auto" w:sz="4" w:space="0"/>
              <w:right w:val="nil"/>
            </w:tcBorders>
            <w:noWrap/>
            <w:vAlign w:val="bottom"/>
          </w:tcPr>
          <w:p>
            <w:pP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编制部门（单位）：衡水市科普宣传教育中心                                                                                                         </w:t>
            </w:r>
          </w:p>
        </w:tc>
        <w:tc>
          <w:tcPr>
            <w:tcW w:w="3405" w:type="dxa"/>
            <w:gridSpan w:val="4"/>
            <w:tcBorders>
              <w:top w:val="nil"/>
              <w:left w:val="nil"/>
              <w:bottom w:val="single" w:color="auto" w:sz="4" w:space="0"/>
              <w:right w:val="nil"/>
            </w:tcBorders>
            <w:noWrap/>
            <w:vAlign w:val="bottom"/>
          </w:tcPr>
          <w:p>
            <w:pPr>
              <w:jc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default" w:ascii="Times New Roman" w:hAnsi="Times New Roman" w:eastAsia="方正仿宋_GB2312" w:cs="Times New Roman"/>
                <w:i w:val="0"/>
                <w:iCs w:val="0"/>
                <w:color w:val="000000"/>
                <w:sz w:val="20"/>
                <w:szCs w:val="20"/>
                <w:highlight w:val="none"/>
                <w:u w:val="none"/>
                <w:lang w:val="en-US" w:eastAsia="zh-CN"/>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2588" w:type="dxa"/>
            <w:gridSpan w:val="3"/>
            <w:tcBorders>
              <w:top w:val="nil"/>
              <w:left w:val="nil"/>
              <w:bottom w:val="single" w:color="auto" w:sz="4" w:space="0"/>
              <w:right w:val="nil"/>
            </w:tcBorders>
            <w:noWrap/>
            <w:vAlign w:val="bottom"/>
          </w:tcPr>
          <w:p>
            <w:pPr>
              <w:jc w:val="right"/>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jc w:val="center"/>
        </w:trPr>
        <w:tc>
          <w:tcPr>
            <w:tcW w:w="2200" w:type="dxa"/>
            <w:gridSpan w:val="2"/>
            <w:tcBorders>
              <w:top w:val="single" w:color="auto"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1037"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本年收入合计</w:t>
            </w:r>
          </w:p>
        </w:tc>
        <w:tc>
          <w:tcPr>
            <w:tcW w:w="1037"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财政拨款收入</w:t>
            </w:r>
          </w:p>
        </w:tc>
        <w:tc>
          <w:tcPr>
            <w:tcW w:w="1037"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上级补助收入</w:t>
            </w:r>
          </w:p>
        </w:tc>
        <w:tc>
          <w:tcPr>
            <w:tcW w:w="964" w:type="dxa"/>
            <w:vMerge w:val="restart"/>
            <w:tcBorders>
              <w:top w:val="single" w:color="auto" w:sz="4" w:space="0"/>
              <w:left w:val="nil"/>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事业收入</w:t>
            </w:r>
          </w:p>
        </w:tc>
        <w:tc>
          <w:tcPr>
            <w:tcW w:w="964" w:type="dxa"/>
            <w:gridSpan w:val="2"/>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经营收入</w:t>
            </w:r>
          </w:p>
        </w:tc>
        <w:tc>
          <w:tcPr>
            <w:tcW w:w="1027"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附属单位上缴收入</w:t>
            </w:r>
          </w:p>
        </w:tc>
        <w:tc>
          <w:tcPr>
            <w:tcW w:w="964"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其他收入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jc w:val="center"/>
        </w:trPr>
        <w:tc>
          <w:tcPr>
            <w:tcW w:w="1040" w:type="dxa"/>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160" w:type="dxa"/>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60" w:type="dxa"/>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60" w:type="dxa"/>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54"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037"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1037"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1037"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964"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4</w:t>
            </w:r>
          </w:p>
        </w:tc>
        <w:tc>
          <w:tcPr>
            <w:tcW w:w="964" w:type="dxa"/>
            <w:gridSpan w:val="2"/>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1027"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w:t>
            </w:r>
          </w:p>
        </w:tc>
        <w:tc>
          <w:tcPr>
            <w:tcW w:w="964"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67"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141.20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141.20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206</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科学技术支出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97.84</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97.84</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20607</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科学技术普及</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97.84</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97.84</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2060799</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其他科学技术普及支出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97.84</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97.84</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社会保障和就业支出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28.13</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28.13</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行政事业单位养老支出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28.13</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28.13</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2080502</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事业单位离退休</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15.36</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15.36</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2080505</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机关事业单位基本养老保险缴费支出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12.76</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12.76</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卫生健康支出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4.90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4.90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21011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行政事业单位医疗</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4.90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4.90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2101102</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事业单位医疗</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4.90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4.90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住房保障支出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10.33</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10.33</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22102</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住房改革支出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10.33</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10.33</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2210201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住房公积金</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10.33</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10.33</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9230" w:type="dxa"/>
            <w:gridSpan w:val="10"/>
            <w:tcBorders>
              <w:top w:val="nil"/>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注：本表反映部门本年度取得的各项收入情况。</w:t>
            </w:r>
          </w:p>
        </w:tc>
      </w:tr>
    </w:tbl>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pPr>
        <w:rPr>
          <w:rFonts w:hint="eastAsia" w:ascii="黑体" w:hAnsi="黑体" w:eastAsia="黑体" w:cs="宋体"/>
          <w:bCs/>
          <w:kern w:val="0"/>
          <w:sz w:val="32"/>
          <w:szCs w:val="32"/>
          <w:highlight w:val="none"/>
        </w:rPr>
      </w:pPr>
      <w:r>
        <w:rPr>
          <w:rFonts w:hint="eastAsia" w:ascii="仿宋_GB2312" w:hAnsi="宋体" w:eastAsia="仿宋_GB2312"/>
          <w:b/>
          <w:color w:val="auto"/>
          <w:kern w:val="0"/>
          <w:sz w:val="32"/>
          <w:szCs w:val="32"/>
          <w:highlight w:val="none"/>
        </w:rPr>
        <w:br w:type="page"/>
      </w:r>
    </w:p>
    <w:p>
      <w:pPr>
        <w:keepNext w:val="0"/>
        <w:keepLines w:val="0"/>
        <w:widowControl/>
        <w:suppressLineNumbers w:val="0"/>
        <w:jc w:val="center"/>
        <w:textAlignment w:val="bottom"/>
        <w:rPr>
          <w:rFonts w:hint="eastAsia" w:ascii="宋体" w:hAnsi="宋体" w:eastAsia="宋体" w:cs="宋体"/>
          <w:spacing w:val="-2"/>
          <w:sz w:val="20"/>
          <w:highlight w:val="none"/>
          <w:lang w:val="en-US" w:eastAsia="zh-CN"/>
        </w:rPr>
      </w:pPr>
    </w:p>
    <w:tbl>
      <w:tblPr>
        <w:tblStyle w:val="11"/>
        <w:tblW w:w="9346"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0"/>
        <w:gridCol w:w="1187"/>
        <w:gridCol w:w="1128"/>
        <w:gridCol w:w="126"/>
        <w:gridCol w:w="1000"/>
        <w:gridCol w:w="1126"/>
        <w:gridCol w:w="497"/>
        <w:gridCol w:w="629"/>
        <w:gridCol w:w="1126"/>
        <w:gridCol w:w="148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50" w:hRule="atLeast"/>
          <w:jc w:val="center"/>
        </w:trPr>
        <w:tc>
          <w:tcPr>
            <w:tcW w:w="9346" w:type="dxa"/>
            <w:gridSpan w:val="10"/>
            <w:tcBorders>
              <w:top w:val="nil"/>
              <w:left w:val="nil"/>
              <w:bottom w:val="nil"/>
              <w:right w:val="nil"/>
            </w:tcBorders>
            <w:noWrap/>
            <w:vAlign w:val="bottom"/>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1"/>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br w:type="page"/>
            </w:r>
            <w:r>
              <w:rPr>
                <w:rFonts w:hint="eastAsia" w:ascii="方正仿宋_GB2312" w:hAnsi="方正仿宋_GB2312" w:eastAsia="方正仿宋_GB2312" w:cs="方正仿宋_GB2312"/>
                <w:b w:val="0"/>
                <w:bCs/>
                <w:color w:val="auto"/>
                <w:kern w:val="0"/>
                <w:sz w:val="32"/>
                <w:szCs w:val="32"/>
                <w:highlight w:val="none"/>
                <w:lang w:val="en-US" w:eastAsia="zh-CN"/>
              </w:rPr>
              <w:t>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jc w:val="center"/>
        </w:trPr>
        <w:tc>
          <w:tcPr>
            <w:tcW w:w="9346" w:type="dxa"/>
            <w:gridSpan w:val="10"/>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宋体" w:cs="Times New Roman"/>
                <w:i w:val="0"/>
                <w:iCs w:val="0"/>
                <w:color w:val="000000"/>
                <w:kern w:val="0"/>
                <w:sz w:val="20"/>
                <w:szCs w:val="20"/>
                <w:highlight w:val="none"/>
                <w:u w:val="none"/>
                <w:lang w:val="en-US" w:eastAsia="zh-CN" w:bidi="ar"/>
              </w:rPr>
              <w:t>03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jc w:val="center"/>
        </w:trPr>
        <w:tc>
          <w:tcPr>
            <w:tcW w:w="3481" w:type="dxa"/>
            <w:gridSpan w:val="4"/>
            <w:tcBorders>
              <w:top w:val="nil"/>
              <w:left w:val="nil"/>
              <w:bottom w:val="single" w:color="auto" w:sz="4" w:space="0"/>
              <w:right w:val="nil"/>
            </w:tcBorders>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编制部门（单位）：衡水市科普宣传教育中心 </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 xml:space="preserve">                                                                                                         </w:t>
            </w:r>
          </w:p>
        </w:tc>
        <w:tc>
          <w:tcPr>
            <w:tcW w:w="2623" w:type="dxa"/>
            <w:gridSpan w:val="3"/>
            <w:tcBorders>
              <w:top w:val="nil"/>
              <w:left w:val="nil"/>
              <w:bottom w:val="single" w:color="auto" w:sz="4" w:space="0"/>
              <w:right w:val="nil"/>
            </w:tcBorders>
            <w:noWrap/>
            <w:vAlign w:val="bottom"/>
          </w:tcPr>
          <w:p>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eastAsiaTheme="minorEastAsia"/>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3242" w:type="dxa"/>
            <w:gridSpan w:val="3"/>
            <w:tcBorders>
              <w:top w:val="nil"/>
              <w:left w:val="nil"/>
              <w:bottom w:val="single" w:color="auto" w:sz="4" w:space="0"/>
              <w:right w:val="nil"/>
            </w:tcBorders>
            <w:noWrap/>
            <w:vAlign w:val="bottom"/>
          </w:tcPr>
          <w:p>
            <w:pPr>
              <w:keepNext w:val="0"/>
              <w:keepLines w:val="0"/>
              <w:widowControl/>
              <w:suppressLineNumbers w:val="0"/>
              <w:jc w:val="right"/>
              <w:textAlignment w:val="bottom"/>
              <w:rPr>
                <w:rFonts w:hint="eastAsia" w:asciiTheme="minorEastAsia" w:hAnsiTheme="minorEastAsia" w:eastAsiaTheme="minorEastAsia" w:cstheme="minorEastAsia"/>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jc w:val="center"/>
        </w:trPr>
        <w:tc>
          <w:tcPr>
            <w:tcW w:w="2227" w:type="dxa"/>
            <w:gridSpan w:val="2"/>
            <w:tcBorders>
              <w:top w:val="single" w:color="auto"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1128"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本年支出合计</w:t>
            </w:r>
          </w:p>
        </w:tc>
        <w:tc>
          <w:tcPr>
            <w:tcW w:w="1126" w:type="dxa"/>
            <w:gridSpan w:val="2"/>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1126"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c>
          <w:tcPr>
            <w:tcW w:w="1126" w:type="dxa"/>
            <w:gridSpan w:val="2"/>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上缴上级支出</w:t>
            </w:r>
          </w:p>
        </w:tc>
        <w:tc>
          <w:tcPr>
            <w:tcW w:w="1126"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经营支出</w:t>
            </w:r>
          </w:p>
        </w:tc>
        <w:tc>
          <w:tcPr>
            <w:tcW w:w="1487"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对附属单位补助支出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187" w:type="dxa"/>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128"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26" w:type="dxa"/>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26"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26" w:type="dxa"/>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26"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48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87" w:type="dxa"/>
            <w:vMerge w:val="continue"/>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1128"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26" w:type="dxa"/>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26"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26" w:type="dxa"/>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26"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48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87" w:type="dxa"/>
            <w:vMerge w:val="continue"/>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1128"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26" w:type="dxa"/>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26"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26" w:type="dxa"/>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26"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48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54" w:hRule="atLeast"/>
          <w:jc w:val="center"/>
        </w:trPr>
        <w:tc>
          <w:tcPr>
            <w:tcW w:w="2227"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128"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1126" w:type="dxa"/>
            <w:gridSpan w:val="2"/>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1126"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1126" w:type="dxa"/>
            <w:gridSpan w:val="2"/>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1126"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1487"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2227"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141.20</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141.20</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206</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科学技术支出</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97.84</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97.84</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20607</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科学技术普及</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97.84</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97.84</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2060799</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其他科学技术普及支出</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97.84</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97.84</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社会保障和就业支出</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28.13</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28.13</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行政事业单位养老支出</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28.13</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28.13</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2080502</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事业单位离退休</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15.36</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15.36</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2080505</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机关事业单位基本养老保险缴费支出</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12.76</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12.76</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卫生健康支出</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4.90</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4.90</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行政事业单位医疗</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4.90</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4.90</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2101102</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事业单位医疗</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4.90</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4.90</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住房保障支出</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10.33</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10.33</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住房改革支出</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10.33</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10.33</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2210201</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住房公积金</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10.33</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10.33</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9346" w:type="dxa"/>
            <w:gridSpan w:val="10"/>
            <w:tcBorders>
              <w:top w:val="nil"/>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注：本表反映部门本年度各项支出情况。</w:t>
            </w:r>
          </w:p>
        </w:tc>
      </w:tr>
    </w:tbl>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11709" w:type="dxa"/>
        <w:tblInd w:w="-18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984"/>
        <w:gridCol w:w="624"/>
        <w:gridCol w:w="1427"/>
        <w:gridCol w:w="1659"/>
        <w:gridCol w:w="439"/>
        <w:gridCol w:w="624"/>
        <w:gridCol w:w="458"/>
        <w:gridCol w:w="837"/>
        <w:gridCol w:w="1219"/>
        <w:gridCol w:w="1219"/>
        <w:gridCol w:w="121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50" w:hRule="atLeast"/>
        </w:trPr>
        <w:tc>
          <w:tcPr>
            <w:tcW w:w="11709" w:type="dxa"/>
            <w:gridSpan w:val="11"/>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财政拨款收入支出决算总表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trPr>
        <w:tc>
          <w:tcPr>
            <w:tcW w:w="11709" w:type="dxa"/>
            <w:gridSpan w:val="11"/>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公开04表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trPr>
        <w:tc>
          <w:tcPr>
            <w:tcW w:w="5694" w:type="dxa"/>
            <w:gridSpan w:val="4"/>
            <w:tcBorders>
              <w:top w:val="nil"/>
              <w:left w:val="nil"/>
              <w:bottom w:val="single" w:color="auto" w:sz="4" w:space="0"/>
              <w:right w:val="nil"/>
            </w:tcBorders>
            <w:noWrap/>
            <w:vAlign w:val="bottom"/>
          </w:tcPr>
          <w:p>
            <w:pPr>
              <w:rPr>
                <w:rFonts w:hint="eastAsia" w:ascii="仿宋" w:hAnsi="仿宋" w:eastAsia="仿宋" w:cs="仿宋"/>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编制部门（单位）：衡水市科普宣传教育中心 </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 xml:space="preserve">                                                                                                   </w:t>
            </w:r>
          </w:p>
        </w:tc>
        <w:tc>
          <w:tcPr>
            <w:tcW w:w="1521" w:type="dxa"/>
            <w:gridSpan w:val="3"/>
            <w:tcBorders>
              <w:top w:val="nil"/>
              <w:left w:val="nil"/>
              <w:bottom w:val="single" w:color="auto" w:sz="4" w:space="0"/>
              <w:right w:val="nil"/>
            </w:tcBorders>
            <w:noWrap/>
            <w:vAlign w:val="bottom"/>
          </w:tcPr>
          <w:p>
            <w:pPr>
              <w:jc w:val="center"/>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4494" w:type="dxa"/>
            <w:gridSpan w:val="4"/>
            <w:tcBorders>
              <w:top w:val="nil"/>
              <w:left w:val="nil"/>
              <w:bottom w:val="single" w:color="auto" w:sz="4" w:space="0"/>
              <w:right w:val="nil"/>
            </w:tcBorders>
            <w:noWrap/>
            <w:vAlign w:val="bottom"/>
          </w:tcPr>
          <w:p>
            <w:pPr>
              <w:jc w:val="right"/>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4035" w:type="dxa"/>
            <w:gridSpan w:val="3"/>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收入</w:t>
            </w:r>
          </w:p>
        </w:tc>
        <w:tc>
          <w:tcPr>
            <w:tcW w:w="7674" w:type="dxa"/>
            <w:gridSpan w:val="8"/>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1984" w:type="dxa"/>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    目</w:t>
            </w:r>
          </w:p>
        </w:tc>
        <w:tc>
          <w:tcPr>
            <w:tcW w:w="624" w:type="dxa"/>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1427" w:type="dxa"/>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金额</w:t>
            </w:r>
          </w:p>
        </w:tc>
        <w:tc>
          <w:tcPr>
            <w:tcW w:w="2098" w:type="dxa"/>
            <w:gridSpan w:val="2"/>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24" w:type="dxa"/>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1295" w:type="dxa"/>
            <w:gridSpan w:val="2"/>
            <w:vMerge w:val="restart"/>
            <w:tcBorders>
              <w:top w:val="nil"/>
              <w:left w:val="nil"/>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合计</w:t>
            </w:r>
          </w:p>
        </w:tc>
        <w:tc>
          <w:tcPr>
            <w:tcW w:w="1219" w:type="dxa"/>
            <w:vMerge w:val="restart"/>
            <w:tcBorders>
              <w:top w:val="nil"/>
              <w:left w:val="nil"/>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一般公共预算财政拨款</w:t>
            </w:r>
          </w:p>
        </w:tc>
        <w:tc>
          <w:tcPr>
            <w:tcW w:w="1219" w:type="dxa"/>
            <w:vMerge w:val="restart"/>
            <w:tcBorders>
              <w:top w:val="nil"/>
              <w:left w:val="nil"/>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政府性基金预算财政拨款</w:t>
            </w:r>
          </w:p>
        </w:tc>
        <w:tc>
          <w:tcPr>
            <w:tcW w:w="1219" w:type="dxa"/>
            <w:vMerge w:val="restart"/>
            <w:tcBorders>
              <w:top w:val="nil"/>
              <w:left w:val="nil"/>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国有资本经营预算财政拨款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1984" w:type="dxa"/>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24" w:type="dxa"/>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427" w:type="dxa"/>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098" w:type="dxa"/>
            <w:gridSpan w:val="2"/>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24" w:type="dxa"/>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295" w:type="dxa"/>
            <w:gridSpan w:val="2"/>
            <w:vMerge w:val="continue"/>
            <w:tcBorders>
              <w:left w:val="nil"/>
              <w:bottom w:val="single" w:color="000000" w:sz="4" w:space="0"/>
              <w:right w:val="single" w:color="000000" w:sz="8"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1219" w:type="dxa"/>
            <w:vMerge w:val="continue"/>
            <w:tcBorders>
              <w:left w:val="nil"/>
              <w:bottom w:val="single" w:color="000000" w:sz="4" w:space="0"/>
              <w:right w:val="single" w:color="000000" w:sz="8"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1219" w:type="dxa"/>
            <w:vMerge w:val="continue"/>
            <w:tcBorders>
              <w:left w:val="nil"/>
              <w:bottom w:val="single" w:color="000000" w:sz="4" w:space="0"/>
              <w:right w:val="single" w:color="000000" w:sz="8"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1219" w:type="dxa"/>
            <w:vMerge w:val="continue"/>
            <w:tcBorders>
              <w:left w:val="nil"/>
              <w:bottom w:val="single" w:color="000000" w:sz="4" w:space="0"/>
              <w:right w:val="single" w:color="000000" w:sz="8"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    次</w:t>
            </w:r>
          </w:p>
        </w:tc>
        <w:tc>
          <w:tcPr>
            <w:tcW w:w="624" w:type="dxa"/>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1427"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    次</w:t>
            </w:r>
          </w:p>
        </w:tc>
        <w:tc>
          <w:tcPr>
            <w:tcW w:w="624" w:type="dxa"/>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129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1219"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1219"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w:t>
            </w:r>
          </w:p>
        </w:tc>
        <w:tc>
          <w:tcPr>
            <w:tcW w:w="1219" w:type="dxa"/>
            <w:tcBorders>
              <w:top w:val="nil"/>
              <w:left w:val="nil"/>
              <w:bottom w:val="single" w:color="000000" w:sz="4" w:space="0"/>
              <w:right w:val="single" w:color="000000" w:sz="8"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141.20</w:t>
            </w: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一、一般公共服务支出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33</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二、外交支出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34</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三、国防支出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35</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四、公共安全支出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36</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五、教育支出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37</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六、科学技术支出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38</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97.84</w:t>
            </w: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97.84</w:t>
            </w: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七、文化旅游体育与传媒支出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39</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八、社会保障和就业支出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40</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28.13</w:t>
            </w: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28.13</w:t>
            </w: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九、卫生健康支出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41</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4.90</w:t>
            </w: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4.90</w:t>
            </w: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十、节能环保支出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42</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十一、城乡社区支出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43</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auto"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auto"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12</w:t>
            </w:r>
          </w:p>
        </w:tc>
        <w:tc>
          <w:tcPr>
            <w:tcW w:w="1427" w:type="dxa"/>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auto"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十二、农林水支出</w:t>
            </w:r>
          </w:p>
        </w:tc>
        <w:tc>
          <w:tcPr>
            <w:tcW w:w="624" w:type="dxa"/>
            <w:tcBorders>
              <w:top w:val="nil"/>
              <w:left w:val="nil"/>
              <w:bottom w:val="single" w:color="auto"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44</w:t>
            </w:r>
          </w:p>
        </w:tc>
        <w:tc>
          <w:tcPr>
            <w:tcW w:w="1295" w:type="dxa"/>
            <w:gridSpan w:val="2"/>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auto"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13</w:t>
            </w:r>
          </w:p>
        </w:tc>
        <w:tc>
          <w:tcPr>
            <w:tcW w:w="1427"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十三、交通运输支出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45</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14</w:t>
            </w:r>
          </w:p>
        </w:tc>
        <w:tc>
          <w:tcPr>
            <w:tcW w:w="1427"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十四、资源勘探工业信息等支出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46</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15</w:t>
            </w:r>
          </w:p>
        </w:tc>
        <w:tc>
          <w:tcPr>
            <w:tcW w:w="1427"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十五、商业服务业等支出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47</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16</w:t>
            </w:r>
          </w:p>
        </w:tc>
        <w:tc>
          <w:tcPr>
            <w:tcW w:w="1427"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十六、金融支出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48</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17</w:t>
            </w:r>
          </w:p>
        </w:tc>
        <w:tc>
          <w:tcPr>
            <w:tcW w:w="1427"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十七、援助其他地区支出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49</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18</w:t>
            </w:r>
          </w:p>
        </w:tc>
        <w:tc>
          <w:tcPr>
            <w:tcW w:w="1427"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十八、自然资源海洋气象等支出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50</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19</w:t>
            </w:r>
          </w:p>
        </w:tc>
        <w:tc>
          <w:tcPr>
            <w:tcW w:w="1427"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十九、住房保障支出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51</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10.33</w:t>
            </w: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10.33</w:t>
            </w: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20</w:t>
            </w:r>
          </w:p>
        </w:tc>
        <w:tc>
          <w:tcPr>
            <w:tcW w:w="1427"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二十、粮油物资储备支出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52</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21</w:t>
            </w:r>
          </w:p>
        </w:tc>
        <w:tc>
          <w:tcPr>
            <w:tcW w:w="1427"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二十一、国有资本经营预算支出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53</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22</w:t>
            </w:r>
          </w:p>
        </w:tc>
        <w:tc>
          <w:tcPr>
            <w:tcW w:w="1427"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二十二、灾害防治及应急管理支出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54</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23</w:t>
            </w:r>
          </w:p>
        </w:tc>
        <w:tc>
          <w:tcPr>
            <w:tcW w:w="1427"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二十三、其他支出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55</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single" w:color="auto" w:sz="4" w:space="0"/>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24</w:t>
            </w:r>
          </w:p>
        </w:tc>
        <w:tc>
          <w:tcPr>
            <w:tcW w:w="1427" w:type="dxa"/>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二十四、债务还本支出</w:t>
            </w:r>
          </w:p>
        </w:tc>
        <w:tc>
          <w:tcPr>
            <w:tcW w:w="624" w:type="dxa"/>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56</w:t>
            </w:r>
          </w:p>
        </w:tc>
        <w:tc>
          <w:tcPr>
            <w:tcW w:w="1295" w:type="dxa"/>
            <w:gridSpan w:val="2"/>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b/>
                <w:bCs/>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25</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二十五、债务付息支出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57</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26</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二十六、抗疫特别国债安排的支出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58</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本年收入合计</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27</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141.20</w:t>
            </w: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本年支出合计</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59</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141.20</w:t>
            </w: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141.20</w:t>
            </w: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年初财政拨款结转和结余</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28</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年末财政拨款结转和结余</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60</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both"/>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both"/>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29</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61</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lef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30</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62</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lef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31</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63</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lef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8"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624" w:type="dxa"/>
            <w:tcBorders>
              <w:top w:val="nil"/>
              <w:left w:val="nil"/>
              <w:bottom w:val="single" w:color="000000" w:sz="8"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32</w:t>
            </w:r>
          </w:p>
        </w:tc>
        <w:tc>
          <w:tcPr>
            <w:tcW w:w="1427" w:type="dxa"/>
            <w:tcBorders>
              <w:top w:val="nil"/>
              <w:left w:val="nil"/>
              <w:bottom w:val="single" w:color="000000" w:sz="8"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141.20</w:t>
            </w:r>
          </w:p>
        </w:tc>
        <w:tc>
          <w:tcPr>
            <w:tcW w:w="2098" w:type="dxa"/>
            <w:gridSpan w:val="2"/>
            <w:tcBorders>
              <w:top w:val="nil"/>
              <w:left w:val="nil"/>
              <w:bottom w:val="single" w:color="000000" w:sz="8"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624" w:type="dxa"/>
            <w:tcBorders>
              <w:top w:val="nil"/>
              <w:left w:val="nil"/>
              <w:bottom w:val="single" w:color="000000" w:sz="8"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64</w:t>
            </w:r>
          </w:p>
        </w:tc>
        <w:tc>
          <w:tcPr>
            <w:tcW w:w="1295" w:type="dxa"/>
            <w:gridSpan w:val="2"/>
            <w:tcBorders>
              <w:top w:val="nil"/>
              <w:left w:val="nil"/>
              <w:bottom w:val="single" w:color="000000" w:sz="8"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141.20</w:t>
            </w:r>
          </w:p>
        </w:tc>
        <w:tc>
          <w:tcPr>
            <w:tcW w:w="1219" w:type="dxa"/>
            <w:tcBorders>
              <w:top w:val="nil"/>
              <w:left w:val="nil"/>
              <w:bottom w:val="single" w:color="000000" w:sz="8" w:space="0"/>
              <w:right w:val="single" w:color="000000" w:sz="4" w:space="0"/>
            </w:tcBorders>
            <w:noWrap/>
            <w:vAlign w:val="center"/>
          </w:tcPr>
          <w:p>
            <w:pPr>
              <w:jc w:val="right"/>
              <w:rPr>
                <w:rFonts w:hint="default" w:ascii="Times New Roman" w:hAnsi="Times New Roman" w:cs="Times New Roman"/>
                <w:sz w:val="20"/>
                <w:szCs w:val="20"/>
                <w:highlight w:val="none"/>
              </w:rPr>
            </w:pPr>
          </w:p>
          <w:p>
            <w:pPr>
              <w:jc w:val="right"/>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141.20</w:t>
            </w:r>
          </w:p>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8"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8"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1709" w:type="dxa"/>
            <w:gridSpan w:val="11"/>
            <w:tcBorders>
              <w:top w:val="nil"/>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注：本表反映部门本年度一般公共预算财政拨款、政府性基金预算财政拨款和国有资本经营预算财政拨款的总收支和年末结转结余情况。</w:t>
            </w:r>
          </w:p>
        </w:tc>
      </w:tr>
    </w:tbl>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outlineLvl w:val="9"/>
        <w:rPr>
          <w:rFonts w:hint="eastAsia" w:ascii="仿宋_GB2312" w:hAnsi="宋体" w:eastAsia="仿宋_GB2312"/>
          <w:b/>
          <w:color w:val="auto"/>
          <w:kern w:val="0"/>
          <w:sz w:val="32"/>
          <w:szCs w:val="32"/>
          <w:highlight w:val="none"/>
        </w:rPr>
      </w:pPr>
    </w:p>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spacing w:val="-2"/>
          <w:sz w:val="20"/>
          <w:highlight w:val="none"/>
          <w:lang w:val="en-US" w:eastAsia="zh-CN"/>
        </w:rPr>
      </w:pPr>
    </w:p>
    <w:tbl>
      <w:tblPr>
        <w:tblStyle w:val="11"/>
        <w:tblW w:w="8772" w:type="dxa"/>
        <w:tblInd w:w="-6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05"/>
        <w:gridCol w:w="3416"/>
        <w:gridCol w:w="410"/>
        <w:gridCol w:w="910"/>
        <w:gridCol w:w="1037"/>
        <w:gridCol w:w="383"/>
        <w:gridCol w:w="171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50" w:hRule="atLeast"/>
        </w:trPr>
        <w:tc>
          <w:tcPr>
            <w:tcW w:w="8772" w:type="dxa"/>
            <w:gridSpan w:val="7"/>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一般公共预算财政拨款支出决算表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trPr>
        <w:tc>
          <w:tcPr>
            <w:tcW w:w="8772" w:type="dxa"/>
            <w:gridSpan w:val="7"/>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方正仿宋_GB2312" w:cs="Times New Roman"/>
                <w:i w:val="0"/>
                <w:iCs w:val="0"/>
                <w:color w:val="000000"/>
                <w:kern w:val="0"/>
                <w:sz w:val="20"/>
                <w:szCs w:val="20"/>
                <w:highlight w:val="none"/>
                <w:u w:val="none"/>
                <w:lang w:val="en-US" w:eastAsia="zh-CN" w:bidi="ar"/>
              </w:rPr>
              <w:t>05</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trPr>
        <w:tc>
          <w:tcPr>
            <w:tcW w:w="4731" w:type="dxa"/>
            <w:gridSpan w:val="3"/>
            <w:tcBorders>
              <w:top w:val="nil"/>
              <w:left w:val="nil"/>
              <w:bottom w:val="single" w:color="auto" w:sz="4" w:space="0"/>
              <w:right w:val="nil"/>
            </w:tcBorders>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编制部门（单位）：衡水市科普宣传教育中心</w:t>
            </w:r>
          </w:p>
        </w:tc>
        <w:tc>
          <w:tcPr>
            <w:tcW w:w="1947" w:type="dxa"/>
            <w:gridSpan w:val="2"/>
            <w:tcBorders>
              <w:top w:val="nil"/>
              <w:left w:val="nil"/>
              <w:bottom w:val="single" w:color="auto" w:sz="4" w:space="0"/>
              <w:right w:val="nil"/>
            </w:tcBorders>
            <w:noWrap/>
            <w:vAlign w:val="bottom"/>
          </w:tcPr>
          <w:p>
            <w:pPr>
              <w:keepNext w:val="0"/>
              <w:keepLines w:val="0"/>
              <w:widowControl/>
              <w:suppressLineNumbers w:val="0"/>
              <w:jc w:val="center"/>
              <w:textAlignment w:val="bottom"/>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2094" w:type="dxa"/>
            <w:gridSpan w:val="2"/>
            <w:tcBorders>
              <w:top w:val="nil"/>
              <w:left w:val="nil"/>
              <w:bottom w:val="single" w:color="auto" w:sz="4" w:space="0"/>
              <w:right w:val="nil"/>
            </w:tcBorders>
            <w:noWrap/>
            <w:vAlign w:val="bottom"/>
          </w:tcPr>
          <w:p>
            <w:pPr>
              <w:keepNext w:val="0"/>
              <w:keepLines w:val="0"/>
              <w:widowControl/>
              <w:suppressLineNumbers w:val="0"/>
              <w:jc w:val="right"/>
              <w:textAlignment w:val="bottom"/>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45" w:hRule="atLeast"/>
        </w:trPr>
        <w:tc>
          <w:tcPr>
            <w:tcW w:w="4321"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4451" w:type="dxa"/>
            <w:gridSpan w:val="5"/>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905"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科目代码</w:t>
            </w:r>
          </w:p>
        </w:tc>
        <w:tc>
          <w:tcPr>
            <w:tcW w:w="3416"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320" w:type="dxa"/>
            <w:gridSpan w:val="2"/>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小计</w:t>
            </w:r>
          </w:p>
        </w:tc>
        <w:tc>
          <w:tcPr>
            <w:tcW w:w="1420" w:type="dxa"/>
            <w:gridSpan w:val="2"/>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1711"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7" w:hRule="atLeast"/>
        </w:trPr>
        <w:tc>
          <w:tcPr>
            <w:tcW w:w="905" w:type="dxa"/>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3416" w:type="dxa"/>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320"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420"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711" w:type="dxa"/>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905" w:type="dxa"/>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3416" w:type="dxa"/>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320"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420"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711" w:type="dxa"/>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4321"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320"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1</w:t>
            </w:r>
          </w:p>
        </w:tc>
        <w:tc>
          <w:tcPr>
            <w:tcW w:w="1420"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2</w:t>
            </w:r>
          </w:p>
        </w:tc>
        <w:tc>
          <w:tcPr>
            <w:tcW w:w="1711"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4321"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32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141.20</w:t>
            </w:r>
          </w:p>
        </w:tc>
        <w:tc>
          <w:tcPr>
            <w:tcW w:w="142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141.20</w:t>
            </w:r>
          </w:p>
        </w:tc>
        <w:tc>
          <w:tcPr>
            <w:tcW w:w="1711"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90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206</w:t>
            </w:r>
          </w:p>
        </w:tc>
        <w:tc>
          <w:tcPr>
            <w:tcW w:w="341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科学技术支出</w:t>
            </w:r>
          </w:p>
        </w:tc>
        <w:tc>
          <w:tcPr>
            <w:tcW w:w="132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97.84</w:t>
            </w:r>
          </w:p>
        </w:tc>
        <w:tc>
          <w:tcPr>
            <w:tcW w:w="142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97.84</w:t>
            </w:r>
          </w:p>
        </w:tc>
        <w:tc>
          <w:tcPr>
            <w:tcW w:w="1711"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90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20607</w:t>
            </w:r>
          </w:p>
        </w:tc>
        <w:tc>
          <w:tcPr>
            <w:tcW w:w="341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科学技术普及</w:t>
            </w:r>
          </w:p>
        </w:tc>
        <w:tc>
          <w:tcPr>
            <w:tcW w:w="132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97.84</w:t>
            </w:r>
          </w:p>
        </w:tc>
        <w:tc>
          <w:tcPr>
            <w:tcW w:w="142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97.84</w:t>
            </w:r>
          </w:p>
        </w:tc>
        <w:tc>
          <w:tcPr>
            <w:tcW w:w="1711"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90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2060799</w:t>
            </w:r>
          </w:p>
        </w:tc>
        <w:tc>
          <w:tcPr>
            <w:tcW w:w="341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其他科学技术普及支出</w:t>
            </w:r>
          </w:p>
        </w:tc>
        <w:tc>
          <w:tcPr>
            <w:tcW w:w="132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97.84</w:t>
            </w:r>
          </w:p>
        </w:tc>
        <w:tc>
          <w:tcPr>
            <w:tcW w:w="142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97.84</w:t>
            </w:r>
          </w:p>
        </w:tc>
        <w:tc>
          <w:tcPr>
            <w:tcW w:w="1711"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90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w:t>
            </w:r>
          </w:p>
        </w:tc>
        <w:tc>
          <w:tcPr>
            <w:tcW w:w="341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社会保障和就业支出</w:t>
            </w:r>
          </w:p>
        </w:tc>
        <w:tc>
          <w:tcPr>
            <w:tcW w:w="132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28.13</w:t>
            </w:r>
          </w:p>
        </w:tc>
        <w:tc>
          <w:tcPr>
            <w:tcW w:w="142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28.13</w:t>
            </w:r>
          </w:p>
        </w:tc>
        <w:tc>
          <w:tcPr>
            <w:tcW w:w="1711"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90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w:t>
            </w:r>
          </w:p>
        </w:tc>
        <w:tc>
          <w:tcPr>
            <w:tcW w:w="341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行政事业单位养老支出</w:t>
            </w:r>
          </w:p>
        </w:tc>
        <w:tc>
          <w:tcPr>
            <w:tcW w:w="132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28.13</w:t>
            </w:r>
          </w:p>
        </w:tc>
        <w:tc>
          <w:tcPr>
            <w:tcW w:w="142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28.13</w:t>
            </w:r>
          </w:p>
        </w:tc>
        <w:tc>
          <w:tcPr>
            <w:tcW w:w="1711"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90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2080502</w:t>
            </w:r>
          </w:p>
        </w:tc>
        <w:tc>
          <w:tcPr>
            <w:tcW w:w="341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事业单位离退休</w:t>
            </w:r>
          </w:p>
        </w:tc>
        <w:tc>
          <w:tcPr>
            <w:tcW w:w="132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15.36</w:t>
            </w:r>
          </w:p>
        </w:tc>
        <w:tc>
          <w:tcPr>
            <w:tcW w:w="142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15.36</w:t>
            </w:r>
          </w:p>
        </w:tc>
        <w:tc>
          <w:tcPr>
            <w:tcW w:w="1711"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90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2080505</w:t>
            </w:r>
          </w:p>
        </w:tc>
        <w:tc>
          <w:tcPr>
            <w:tcW w:w="341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机关事业单位基本养老保险缴费支出</w:t>
            </w:r>
          </w:p>
        </w:tc>
        <w:tc>
          <w:tcPr>
            <w:tcW w:w="132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12.76</w:t>
            </w:r>
          </w:p>
        </w:tc>
        <w:tc>
          <w:tcPr>
            <w:tcW w:w="142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12.76</w:t>
            </w:r>
          </w:p>
        </w:tc>
        <w:tc>
          <w:tcPr>
            <w:tcW w:w="1711"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90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w:t>
            </w:r>
          </w:p>
        </w:tc>
        <w:tc>
          <w:tcPr>
            <w:tcW w:w="341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卫生健康支出</w:t>
            </w:r>
          </w:p>
        </w:tc>
        <w:tc>
          <w:tcPr>
            <w:tcW w:w="132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4.90</w:t>
            </w:r>
          </w:p>
        </w:tc>
        <w:tc>
          <w:tcPr>
            <w:tcW w:w="142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4.90</w:t>
            </w:r>
          </w:p>
        </w:tc>
        <w:tc>
          <w:tcPr>
            <w:tcW w:w="1711"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90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w:t>
            </w:r>
          </w:p>
        </w:tc>
        <w:tc>
          <w:tcPr>
            <w:tcW w:w="341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行政事业单位医疗</w:t>
            </w:r>
          </w:p>
        </w:tc>
        <w:tc>
          <w:tcPr>
            <w:tcW w:w="132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4.90</w:t>
            </w:r>
          </w:p>
        </w:tc>
        <w:tc>
          <w:tcPr>
            <w:tcW w:w="142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4.90</w:t>
            </w:r>
          </w:p>
        </w:tc>
        <w:tc>
          <w:tcPr>
            <w:tcW w:w="1711"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90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2101102</w:t>
            </w:r>
          </w:p>
        </w:tc>
        <w:tc>
          <w:tcPr>
            <w:tcW w:w="341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事业单位医疗</w:t>
            </w:r>
          </w:p>
        </w:tc>
        <w:tc>
          <w:tcPr>
            <w:tcW w:w="132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4.90</w:t>
            </w:r>
          </w:p>
        </w:tc>
        <w:tc>
          <w:tcPr>
            <w:tcW w:w="142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4.90</w:t>
            </w:r>
          </w:p>
        </w:tc>
        <w:tc>
          <w:tcPr>
            <w:tcW w:w="1711"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90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w:t>
            </w:r>
          </w:p>
        </w:tc>
        <w:tc>
          <w:tcPr>
            <w:tcW w:w="341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住房保障支出</w:t>
            </w:r>
          </w:p>
        </w:tc>
        <w:tc>
          <w:tcPr>
            <w:tcW w:w="132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10.33</w:t>
            </w:r>
          </w:p>
        </w:tc>
        <w:tc>
          <w:tcPr>
            <w:tcW w:w="142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10.33</w:t>
            </w:r>
          </w:p>
        </w:tc>
        <w:tc>
          <w:tcPr>
            <w:tcW w:w="1711"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90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w:t>
            </w:r>
          </w:p>
        </w:tc>
        <w:tc>
          <w:tcPr>
            <w:tcW w:w="341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住房改革支出</w:t>
            </w:r>
          </w:p>
        </w:tc>
        <w:tc>
          <w:tcPr>
            <w:tcW w:w="132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10.33</w:t>
            </w:r>
          </w:p>
        </w:tc>
        <w:tc>
          <w:tcPr>
            <w:tcW w:w="142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10.33</w:t>
            </w:r>
          </w:p>
        </w:tc>
        <w:tc>
          <w:tcPr>
            <w:tcW w:w="1711"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90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2210201</w:t>
            </w:r>
          </w:p>
        </w:tc>
        <w:tc>
          <w:tcPr>
            <w:tcW w:w="341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住房公积金</w:t>
            </w:r>
          </w:p>
        </w:tc>
        <w:tc>
          <w:tcPr>
            <w:tcW w:w="132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10.33</w:t>
            </w:r>
          </w:p>
        </w:tc>
        <w:tc>
          <w:tcPr>
            <w:tcW w:w="142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10.33</w:t>
            </w:r>
          </w:p>
        </w:tc>
        <w:tc>
          <w:tcPr>
            <w:tcW w:w="1711"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8772" w:type="dxa"/>
            <w:gridSpan w:val="7"/>
            <w:tcBorders>
              <w:top w:val="single" w:color="auto" w:sz="4" w:space="0"/>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注：本表反映部门本年度一般公共预算财政拨款支出情况。</w:t>
            </w:r>
          </w:p>
        </w:tc>
      </w:tr>
    </w:tbl>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11338" w:type="dxa"/>
        <w:tblInd w:w="-16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64"/>
        <w:gridCol w:w="1814"/>
        <w:gridCol w:w="1020"/>
        <w:gridCol w:w="964"/>
        <w:gridCol w:w="438"/>
        <w:gridCol w:w="1376"/>
        <w:gridCol w:w="587"/>
        <w:gridCol w:w="377"/>
        <w:gridCol w:w="964"/>
        <w:gridCol w:w="1814"/>
        <w:gridCol w:w="10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24" w:hRule="atLeast"/>
        </w:trPr>
        <w:tc>
          <w:tcPr>
            <w:tcW w:w="11338" w:type="dxa"/>
            <w:gridSpan w:val="11"/>
            <w:tcBorders>
              <w:top w:val="nil"/>
              <w:left w:val="nil"/>
              <w:bottom w:val="nil"/>
              <w:right w:val="nil"/>
            </w:tcBorders>
            <w:noWrap/>
            <w:vAlign w:val="bottom"/>
          </w:tcPr>
          <w:p>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一般公共预算财政拨款基本支出决算表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trPr>
        <w:tc>
          <w:tcPr>
            <w:tcW w:w="11338" w:type="dxa"/>
            <w:gridSpan w:val="11"/>
            <w:tcBorders>
              <w:top w:val="nil"/>
              <w:left w:val="nil"/>
              <w:bottom w:val="nil"/>
              <w:right w:val="nil"/>
            </w:tcBorders>
            <w:noWrap/>
            <w:vAlign w:val="bottom"/>
          </w:tcPr>
          <w:p>
            <w:pPr>
              <w:keepNext w:val="0"/>
              <w:keepLines w:val="0"/>
              <w:widowControl/>
              <w:suppressLineNumbers w:val="0"/>
              <w:jc w:val="right"/>
              <w:textAlignment w:val="bottom"/>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公开</w:t>
            </w:r>
            <w:r>
              <w:rPr>
                <w:rFonts w:hint="default" w:ascii="Times New Roman" w:hAnsi="Times New Roman" w:eastAsia="方正仿宋_GB2312" w:cs="Times New Roman"/>
                <w:i w:val="0"/>
                <w:iCs w:val="0"/>
                <w:color w:val="000000"/>
                <w:kern w:val="0"/>
                <w:sz w:val="18"/>
                <w:szCs w:val="18"/>
                <w:highlight w:val="none"/>
                <w:u w:val="none"/>
                <w:lang w:val="en-US" w:eastAsia="zh-CN" w:bidi="ar"/>
              </w:rPr>
              <w:t>06</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0" w:hRule="atLeast"/>
        </w:trPr>
        <w:tc>
          <w:tcPr>
            <w:tcW w:w="5200" w:type="dxa"/>
            <w:gridSpan w:val="5"/>
            <w:tcBorders>
              <w:top w:val="nil"/>
              <w:left w:val="nil"/>
              <w:bottom w:val="single" w:color="auto" w:sz="4" w:space="0"/>
              <w:right w:val="nil"/>
            </w:tcBorders>
            <w:noWrap/>
            <w:vAlign w:val="bottom"/>
          </w:tcPr>
          <w:p>
            <w:pP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编制部门（单位）：衡水市科普宣传教育中心 </w:t>
            </w:r>
            <w:r>
              <w:rPr>
                <w:rFonts w:hint="eastAsia" w:asciiTheme="minorEastAsia" w:hAnsiTheme="minorEastAsia" w:cstheme="minorEastAsia"/>
                <w:i w:val="0"/>
                <w:iCs w:val="0"/>
                <w:color w:val="000000"/>
                <w:kern w:val="0"/>
                <w:sz w:val="18"/>
                <w:szCs w:val="18"/>
                <w:highlight w:val="none"/>
                <w:u w:val="none"/>
                <w:lang w:val="en-US" w:eastAsia="zh-CN" w:bidi="ar"/>
              </w:rPr>
              <w:t xml:space="preserve">                                                                   </w:t>
            </w:r>
          </w:p>
        </w:tc>
        <w:tc>
          <w:tcPr>
            <w:tcW w:w="1963" w:type="dxa"/>
            <w:gridSpan w:val="2"/>
            <w:tcBorders>
              <w:top w:val="nil"/>
              <w:left w:val="nil"/>
              <w:bottom w:val="single" w:color="auto" w:sz="4" w:space="0"/>
              <w:right w:val="nil"/>
            </w:tcBorders>
            <w:noWrap/>
            <w:vAlign w:val="bottom"/>
          </w:tcPr>
          <w:p>
            <w:pPr>
              <w:jc w:val="center"/>
              <w:rPr>
                <w:rFonts w:hint="default"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Theme="minorEastAsia" w:hAnsiTheme="minorEastAsia" w:cstheme="minorEastAsia"/>
                <w:i w:val="0"/>
                <w:iCs w:val="0"/>
                <w:color w:val="000000"/>
                <w:kern w:val="0"/>
                <w:sz w:val="18"/>
                <w:szCs w:val="18"/>
                <w:highlight w:val="none"/>
                <w:u w:val="none"/>
                <w:lang w:val="en-US" w:eastAsia="zh-CN" w:bidi="ar"/>
              </w:rPr>
              <w:t>2023</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年度</w:t>
            </w:r>
          </w:p>
        </w:tc>
        <w:tc>
          <w:tcPr>
            <w:tcW w:w="4175" w:type="dxa"/>
            <w:gridSpan w:val="4"/>
            <w:tcBorders>
              <w:top w:val="nil"/>
              <w:left w:val="nil"/>
              <w:bottom w:val="single" w:color="auto" w:sz="4" w:space="0"/>
              <w:right w:val="nil"/>
            </w:tcBorders>
            <w:noWrap/>
            <w:vAlign w:val="bottom"/>
          </w:tcPr>
          <w:p>
            <w:pPr>
              <w:jc w:val="right"/>
              <w:rPr>
                <w:rFonts w:hint="default"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3798" w:type="dxa"/>
            <w:gridSpan w:val="3"/>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人员经费</w:t>
            </w:r>
          </w:p>
        </w:tc>
        <w:tc>
          <w:tcPr>
            <w:tcW w:w="7540" w:type="dxa"/>
            <w:gridSpan w:val="8"/>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公用经费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科目代码</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1020"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c>
          <w:tcPr>
            <w:tcW w:w="96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eastAsia="zh-CN"/>
              </w:rPr>
            </w:pPr>
            <w:r>
              <w:rPr>
                <w:rFonts w:hint="eastAsia" w:ascii="方正仿宋_GB2312" w:hAnsi="方正仿宋_GB2312" w:eastAsia="方正仿宋_GB2312" w:cs="方正仿宋_GB2312"/>
                <w:i w:val="0"/>
                <w:iCs w:val="0"/>
                <w:color w:val="000000"/>
                <w:sz w:val="18"/>
                <w:szCs w:val="18"/>
                <w:highlight w:val="none"/>
                <w:u w:val="none"/>
                <w:lang w:val="en-US" w:eastAsia="zh-CN"/>
              </w:rPr>
              <w:t>科目代码</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c>
          <w:tcPr>
            <w:tcW w:w="96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eastAsia="zh-CN"/>
              </w:rPr>
            </w:pPr>
            <w:r>
              <w:rPr>
                <w:rFonts w:hint="eastAsia" w:ascii="方正仿宋_GB2312" w:hAnsi="方正仿宋_GB2312" w:eastAsia="方正仿宋_GB2312" w:cs="方正仿宋_GB2312"/>
                <w:i w:val="0"/>
                <w:iCs w:val="0"/>
                <w:color w:val="000000"/>
                <w:sz w:val="18"/>
                <w:szCs w:val="18"/>
                <w:highlight w:val="none"/>
                <w:u w:val="none"/>
                <w:lang w:val="en-US" w:eastAsia="zh-CN"/>
              </w:rPr>
              <w:t>科目代码</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1020"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工资福利支出</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122.52</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商品和服务支出</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3.32</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债务利息及费用支出</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30101</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基本工资</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39.21</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30201</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办公费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1.37</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30701</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国内债务付息</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30102</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津贴补贴</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9.07</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30202</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印刷费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30702</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国外债务付息</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30103</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奖金</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7.08</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30203</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咨询费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资本性支出</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30106</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伙食补助费</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30204</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手续费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31001</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房屋建筑物购建</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30107</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绩效工资</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38.37</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30205</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水费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31002</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办公设备购置</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30108</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机关事业单位基本养老保险缴费</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12.76</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30206</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电费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31003</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专用设备购置</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30109</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职业年金缴费</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30207</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邮电费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31005</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基础设施建设</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30110</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职工基本医疗保险缴费</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4.90</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30208</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取暖费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0.64</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31006</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大型修缮</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30111</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公务员医疗补助缴费</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30209</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物业管理费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31007</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信息网络及软件购置更新</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30112</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其他社会保障缴费</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0.80</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30211</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差旅费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31008</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物资储备</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30113</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住房公积金</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10.33</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30212</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因公出国（境）费用</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31009</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土地补偿</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30114</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医疗费</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30213</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维修（护）费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31010</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安置补助</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30199</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其他工资福利支出</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30214</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租赁费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31011</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地上附着物和青苗补偿</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对个人和家庭的补助</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15.36</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30215</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会议费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31012</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拆迁补偿</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30301</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离休费</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30216</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培训费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31013</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30302</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退休费</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15.36</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30217</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31019</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其他交通工具购置</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30303</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退职（役）费</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30218</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专用材料费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31021</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文物和陈列品购置</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30304</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抚恤金</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30224</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被装购置费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31022</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无形资产购置</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30305</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生活补助</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30225</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专用燃料费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31099</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其他资本性支出</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30306</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救济费</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30226</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劳务费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对企业补助</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30307</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医疗费补助</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30227</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委托业务费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31201</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资本金注入</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30308</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助学金</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30228</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工会经费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0.72</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31203</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政府投资基金股权投资</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30309</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奖励金</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30229</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福利费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0.14</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31204</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费用补贴</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30310</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个人农业生产补贴</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30231</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31205</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利息补贴</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30311</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代缴社会保险费</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30239</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其他交通费用</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31299</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其他对企业补助</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30399</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其他对个人和家庭的补助</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30240</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税金及附加费用</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其他支出</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p>
        </w:tc>
        <w:tc>
          <w:tcPr>
            <w:tcW w:w="181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1020" w:type="dxa"/>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30299</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其他商品和服务支出</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0.44</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39907</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国家赔偿费用支出</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p>
        </w:tc>
        <w:tc>
          <w:tcPr>
            <w:tcW w:w="181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1020"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39908</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对民间非营利组织和群众性自治组织补贴</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p>
        </w:tc>
        <w:tc>
          <w:tcPr>
            <w:tcW w:w="181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1020"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39909</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经常性赠与</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p>
        </w:tc>
        <w:tc>
          <w:tcPr>
            <w:tcW w:w="181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1020"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39910</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资本性赠与</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p>
        </w:tc>
        <w:tc>
          <w:tcPr>
            <w:tcW w:w="181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1020"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39999</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其他支出</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2778"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hint="default" w:ascii="Times New Roman" w:hAnsi="Times New Roman" w:cs="Times New Roman" w:eastAsiaTheme="minorEastAsia"/>
                <w:sz w:val="18"/>
                <w:szCs w:val="18"/>
                <w:highlight w:val="none"/>
                <w:lang w:val="en-US" w:eastAsia="zh-CN"/>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人员经费合计</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sz w:val="18"/>
                <w:szCs w:val="18"/>
                <w:highlight w:val="none"/>
              </w:rPr>
            </w:pPr>
            <w:r>
              <w:rPr>
                <w:rFonts w:hint="default" w:ascii="Times New Roman" w:hAnsi="Times New Roman" w:cs="Times New Roman" w:eastAsiaTheme="minorEastAsia"/>
                <w:sz w:val="18"/>
                <w:szCs w:val="18"/>
                <w:highlight w:val="none"/>
              </w:rPr>
              <w:t>137.88</w:t>
            </w:r>
          </w:p>
        </w:tc>
        <w:tc>
          <w:tcPr>
            <w:tcW w:w="6520" w:type="dxa"/>
            <w:gridSpan w:val="7"/>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公用经费合计</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3.32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1338" w:type="dxa"/>
            <w:gridSpan w:val="11"/>
            <w:tcBorders>
              <w:top w:val="single" w:color="auto" w:sz="4" w:space="0"/>
              <w:left w:val="nil"/>
              <w:bottom w:val="nil"/>
              <w:right w:val="nil"/>
            </w:tcBorders>
            <w:noWrap/>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注：本表反映部门本年度一般公共预算财政拨款基本支出明细情况。</w:t>
            </w:r>
          </w:p>
        </w:tc>
      </w:tr>
    </w:tbl>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仿宋_GB2312" w:hAnsi="宋体" w:eastAsia="仿宋_GB2312"/>
          <w:b/>
          <w:color w:val="auto"/>
          <w:kern w:val="0"/>
          <w:sz w:val="32"/>
          <w:szCs w:val="32"/>
          <w:highlight w:val="none"/>
        </w:rPr>
      </w:pPr>
    </w:p>
    <w:tbl>
      <w:tblPr>
        <w:tblStyle w:val="11"/>
        <w:tblW w:w="10480" w:type="dxa"/>
        <w:tblInd w:w="-140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60"/>
        <w:gridCol w:w="1474"/>
        <w:gridCol w:w="1306"/>
        <w:gridCol w:w="1027"/>
        <w:gridCol w:w="1107"/>
        <w:gridCol w:w="418"/>
        <w:gridCol w:w="702"/>
        <w:gridCol w:w="1146"/>
        <w:gridCol w:w="204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50" w:hRule="atLeast"/>
        </w:trPr>
        <w:tc>
          <w:tcPr>
            <w:tcW w:w="10480" w:type="dxa"/>
            <w:gridSpan w:val="9"/>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政府性基金预算财政拨款收入支出决算表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0" w:hRule="atLeast"/>
        </w:trPr>
        <w:tc>
          <w:tcPr>
            <w:tcW w:w="10480" w:type="dxa"/>
            <w:gridSpan w:val="9"/>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宋体" w:cs="Times New Roman"/>
                <w:i w:val="0"/>
                <w:iCs w:val="0"/>
                <w:color w:val="000000"/>
                <w:kern w:val="0"/>
                <w:sz w:val="20"/>
                <w:szCs w:val="20"/>
                <w:highlight w:val="none"/>
                <w:u w:val="none"/>
                <w:lang w:val="en-US" w:eastAsia="zh-CN" w:bidi="ar"/>
              </w:rPr>
              <w:t>07</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trPr>
        <w:tc>
          <w:tcPr>
            <w:tcW w:w="4040" w:type="dxa"/>
            <w:gridSpan w:val="3"/>
            <w:tcBorders>
              <w:top w:val="nil"/>
              <w:left w:val="nil"/>
              <w:bottom w:val="single" w:color="auto" w:sz="4" w:space="0"/>
              <w:right w:val="nil"/>
            </w:tcBorders>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编制部门（单位）：衡水市科普宣传教育中心 </w:t>
            </w:r>
            <w:r>
              <w:rPr>
                <w:rFonts w:hint="eastAsia" w:ascii="宋体" w:hAnsi="宋体" w:eastAsia="宋体" w:cs="宋体"/>
                <w:i w:val="0"/>
                <w:iCs w:val="0"/>
                <w:color w:val="000000"/>
                <w:kern w:val="0"/>
                <w:sz w:val="20"/>
                <w:szCs w:val="20"/>
                <w:highlight w:val="none"/>
                <w:u w:val="none"/>
                <w:lang w:val="en-US" w:eastAsia="zh-CN" w:bidi="ar"/>
              </w:rPr>
              <w:t xml:space="preserve">                                                                                     </w:t>
            </w:r>
          </w:p>
        </w:tc>
        <w:tc>
          <w:tcPr>
            <w:tcW w:w="2552" w:type="dxa"/>
            <w:gridSpan w:val="3"/>
            <w:tcBorders>
              <w:top w:val="nil"/>
              <w:left w:val="nil"/>
              <w:bottom w:val="single" w:color="auto" w:sz="4" w:space="0"/>
              <w:right w:val="nil"/>
            </w:tcBorders>
            <w:noWrap/>
            <w:vAlign w:val="bottom"/>
          </w:tcPr>
          <w:p>
            <w:pPr>
              <w:keepNext w:val="0"/>
              <w:keepLines w:val="0"/>
              <w:widowControl/>
              <w:suppressLineNumbers w:val="0"/>
              <w:jc w:val="center"/>
              <w:textAlignment w:val="bottom"/>
              <w:rPr>
                <w:rFonts w:hint="default" w:ascii="宋体" w:hAnsi="宋体" w:eastAsia="宋体" w:cs="宋体"/>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3888" w:type="dxa"/>
            <w:gridSpan w:val="3"/>
            <w:tcBorders>
              <w:top w:val="nil"/>
              <w:left w:val="nil"/>
              <w:bottom w:val="single" w:color="auto" w:sz="4" w:space="0"/>
              <w:right w:val="nil"/>
            </w:tcBorders>
            <w:noWrap/>
            <w:vAlign w:val="bottom"/>
          </w:tcPr>
          <w:p>
            <w:pPr>
              <w:keepNext w:val="0"/>
              <w:keepLines w:val="0"/>
              <w:widowControl/>
              <w:suppressLineNumbers w:val="0"/>
              <w:jc w:val="right"/>
              <w:textAlignment w:val="bottom"/>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2734" w:type="dxa"/>
            <w:gridSpan w:val="2"/>
            <w:tcBorders>
              <w:top w:val="single" w:color="auto"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1306"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年初结转和结余</w:t>
            </w:r>
          </w:p>
        </w:tc>
        <w:tc>
          <w:tcPr>
            <w:tcW w:w="1027"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本年收入</w:t>
            </w:r>
          </w:p>
        </w:tc>
        <w:tc>
          <w:tcPr>
            <w:tcW w:w="3373" w:type="dxa"/>
            <w:gridSpan w:val="4"/>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w:t>
            </w:r>
          </w:p>
        </w:tc>
        <w:tc>
          <w:tcPr>
            <w:tcW w:w="2040" w:type="dxa"/>
            <w:vMerge w:val="restart"/>
            <w:tcBorders>
              <w:top w:val="single" w:color="auto" w:sz="4" w:space="0"/>
              <w:left w:val="nil"/>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年末结转和结余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1260" w:type="dxa"/>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474" w:type="dxa"/>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306"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07" w:type="dxa"/>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小计</w:t>
            </w:r>
          </w:p>
        </w:tc>
        <w:tc>
          <w:tcPr>
            <w:tcW w:w="1120" w:type="dxa"/>
            <w:gridSpan w:val="2"/>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1146" w:type="dxa"/>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c>
          <w:tcPr>
            <w:tcW w:w="2040" w:type="dxa"/>
            <w:vMerge w:val="continue"/>
            <w:tcBorders>
              <w:left w:val="nil"/>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结转</w:t>
            </w:r>
          </w:p>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1260" w:type="dxa"/>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474" w:type="dxa"/>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306"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07" w:type="dxa"/>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20" w:type="dxa"/>
            <w:gridSpan w:val="2"/>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46" w:type="dxa"/>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040" w:type="dxa"/>
            <w:vMerge w:val="continue"/>
            <w:tcBorders>
              <w:left w:val="nil"/>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1260" w:type="dxa"/>
            <w:vMerge w:val="continue"/>
            <w:tcBorders>
              <w:top w:val="nil"/>
              <w:left w:val="single" w:color="000000" w:sz="4" w:space="0"/>
              <w:bottom w:val="single" w:color="auto"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474" w:type="dxa"/>
            <w:vMerge w:val="continue"/>
            <w:tcBorders>
              <w:top w:val="nil"/>
              <w:left w:val="nil"/>
              <w:bottom w:val="single" w:color="auto"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306"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07" w:type="dxa"/>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20" w:type="dxa"/>
            <w:gridSpan w:val="2"/>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46" w:type="dxa"/>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040" w:type="dxa"/>
            <w:vMerge w:val="continue"/>
            <w:tcBorders>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2734"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306" w:type="dxa"/>
            <w:tcBorders>
              <w:top w:val="nil"/>
              <w:left w:val="single" w:color="auto"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1</w:t>
            </w:r>
          </w:p>
        </w:tc>
        <w:tc>
          <w:tcPr>
            <w:tcW w:w="1027"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2</w:t>
            </w:r>
          </w:p>
        </w:tc>
        <w:tc>
          <w:tcPr>
            <w:tcW w:w="1107"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3</w:t>
            </w:r>
          </w:p>
        </w:tc>
        <w:tc>
          <w:tcPr>
            <w:tcW w:w="1120"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4</w:t>
            </w:r>
          </w:p>
        </w:tc>
        <w:tc>
          <w:tcPr>
            <w:tcW w:w="1146"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5</w:t>
            </w:r>
          </w:p>
        </w:tc>
        <w:tc>
          <w:tcPr>
            <w:tcW w:w="2040"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lang w:val="en-US" w:eastAsia="zh-CN"/>
              </w:rPr>
            </w:pPr>
            <w:r>
              <w:rPr>
                <w:rFonts w:hint="default" w:ascii="Times New Roman" w:hAnsi="Times New Roman" w:eastAsia="方正仿宋_GB2312" w:cs="Times New Roman"/>
                <w:i w:val="0"/>
                <w:iCs w:val="0"/>
                <w:color w:val="000000"/>
                <w:sz w:val="20"/>
                <w:szCs w:val="20"/>
                <w:highlight w:val="none"/>
                <w:u w:val="none"/>
                <w:lang w:val="en-US" w:eastAsia="zh-CN"/>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69" w:hRule="atLeast"/>
        </w:trPr>
        <w:tc>
          <w:tcPr>
            <w:tcW w:w="2734"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306" w:type="dxa"/>
            <w:tcBorders>
              <w:top w:val="nil"/>
              <w:left w:val="single" w:color="auto" w:sz="4" w:space="0"/>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0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0"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4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40"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0480" w:type="dxa"/>
            <w:gridSpan w:val="9"/>
            <w:tcBorders>
              <w:top w:val="nil"/>
              <w:left w:val="nil"/>
              <w:bottom w:val="nil"/>
              <w:right w:val="nil"/>
            </w:tcBorders>
            <w:noWrap/>
            <w:vAlign w:val="center"/>
          </w:tcPr>
          <w:p>
            <w:pP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注：本表反映部门本年度政府性基金预算财政拨款收入、支出及结转和结余情况。（如无相关数据，则需注明空表列示）</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br w:type="page"/>
            </w:r>
          </w:p>
        </w:tc>
      </w:tr>
    </w:tbl>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lang w:eastAsia="zh-CN"/>
        </w:rPr>
        <w:t>本单位本年度无相关支出情况，按要求以空表列示。</w:t>
      </w:r>
      <w:r>
        <w:rPr>
          <w:rFonts w:hint="eastAsia" w:ascii="仿宋_GB2312" w:hAnsi="宋体" w:eastAsia="仿宋_GB2312"/>
          <w:b/>
          <w:color w:val="auto"/>
          <w:kern w:val="0"/>
          <w:sz w:val="32"/>
          <w:szCs w:val="32"/>
          <w:highlight w:val="none"/>
        </w:rPr>
        <w:br w:type="page"/>
      </w:r>
    </w:p>
    <w:p>
      <w:pPr>
        <w:keepNext w:val="0"/>
        <w:keepLines w:val="0"/>
        <w:widowControl/>
        <w:suppressLineNumbers w:val="0"/>
        <w:jc w:val="center"/>
        <w:textAlignment w:val="bottom"/>
        <w:rPr>
          <w:rFonts w:hint="eastAsia" w:ascii="宋体" w:hAnsi="宋体" w:eastAsia="宋体" w:cs="宋体"/>
          <w:spacing w:val="-2"/>
          <w:sz w:val="20"/>
          <w:highlight w:val="none"/>
          <w:lang w:val="en-US" w:eastAsia="zh-CN"/>
        </w:rPr>
      </w:pPr>
    </w:p>
    <w:tbl>
      <w:tblPr>
        <w:tblStyle w:val="11"/>
        <w:tblW w:w="8041"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017"/>
        <w:gridCol w:w="731"/>
        <w:gridCol w:w="1296"/>
        <w:gridCol w:w="1332"/>
        <w:gridCol w:w="5"/>
        <w:gridCol w:w="47"/>
        <w:gridCol w:w="1281"/>
        <w:gridCol w:w="10"/>
        <w:gridCol w:w="13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50" w:hRule="atLeast"/>
        </w:trPr>
        <w:tc>
          <w:tcPr>
            <w:tcW w:w="8041" w:type="dxa"/>
            <w:gridSpan w:val="9"/>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国有资本经营预算财政拨款支出决算表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trPr>
        <w:tc>
          <w:tcPr>
            <w:tcW w:w="8041" w:type="dxa"/>
            <w:gridSpan w:val="9"/>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方正仿宋_GB2312" w:cs="Times New Roman"/>
                <w:i w:val="0"/>
                <w:iCs w:val="0"/>
                <w:color w:val="000000"/>
                <w:kern w:val="0"/>
                <w:sz w:val="20"/>
                <w:szCs w:val="20"/>
                <w:highlight w:val="none"/>
                <w:u w:val="none"/>
                <w:lang w:val="en-US" w:eastAsia="zh-CN" w:bidi="ar"/>
              </w:rPr>
              <w:t>08</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trPr>
        <w:tc>
          <w:tcPr>
            <w:tcW w:w="2748" w:type="dxa"/>
            <w:gridSpan w:val="2"/>
            <w:tcBorders>
              <w:top w:val="nil"/>
              <w:left w:val="nil"/>
              <w:bottom w:val="single" w:color="auto" w:sz="4" w:space="0"/>
              <w:right w:val="nil"/>
            </w:tcBorders>
            <w:noWrap/>
            <w:vAlign w:val="bottom"/>
          </w:tcPr>
          <w:p>
            <w:pPr>
              <w:keepNext w:val="0"/>
              <w:keepLines w:val="0"/>
              <w:widowControl/>
              <w:suppressLineNumbers w:val="0"/>
              <w:jc w:val="both"/>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编制部门（单位）：衡水市科普宣传教育中心</w:t>
            </w:r>
          </w:p>
        </w:tc>
        <w:tc>
          <w:tcPr>
            <w:tcW w:w="2680" w:type="dxa"/>
            <w:gridSpan w:val="4"/>
            <w:tcBorders>
              <w:top w:val="nil"/>
              <w:left w:val="nil"/>
              <w:bottom w:val="single" w:color="auto" w:sz="4" w:space="0"/>
              <w:right w:val="nil"/>
            </w:tcBorders>
            <w:noWrap/>
            <w:vAlign w:val="bottom"/>
          </w:tcPr>
          <w:p>
            <w:pPr>
              <w:keepNext w:val="0"/>
              <w:keepLines w:val="0"/>
              <w:widowControl/>
              <w:suppressLineNumbers w:val="0"/>
              <w:jc w:val="center"/>
              <w:textAlignment w:val="bottom"/>
              <w:rPr>
                <w:rFonts w:hint="default" w:ascii="宋体" w:hAnsi="宋体" w:eastAsia="宋体" w:cs="宋体"/>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2613" w:type="dxa"/>
            <w:gridSpan w:val="3"/>
            <w:tcBorders>
              <w:top w:val="nil"/>
              <w:left w:val="nil"/>
              <w:bottom w:val="single" w:color="auto" w:sz="4" w:space="0"/>
              <w:right w:val="nil"/>
            </w:tcBorders>
            <w:noWrap/>
            <w:vAlign w:val="bottom"/>
          </w:tcPr>
          <w:p>
            <w:pPr>
              <w:keepNext w:val="0"/>
              <w:keepLines w:val="0"/>
              <w:widowControl/>
              <w:suppressLineNumbers w:val="0"/>
              <w:jc w:val="right"/>
              <w:textAlignment w:val="bottom"/>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4044" w:type="dxa"/>
            <w:gridSpan w:val="3"/>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项目</w:t>
            </w:r>
          </w:p>
        </w:tc>
        <w:tc>
          <w:tcPr>
            <w:tcW w:w="3997" w:type="dxa"/>
            <w:gridSpan w:val="6"/>
            <w:vMerge w:val="restart"/>
            <w:tcBorders>
              <w:top w:val="single" w:color="auto" w:sz="4" w:space="0"/>
              <w:left w:val="single" w:color="auto" w:sz="4" w:space="0"/>
              <w:right w:val="single" w:color="000000" w:sz="4" w:space="0"/>
            </w:tcBorders>
            <w:noWrap w:val="0"/>
            <w:vAlign w:val="center"/>
          </w:tcPr>
          <w:p>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本年支出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4044" w:type="dxa"/>
            <w:gridSpan w:val="3"/>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3997" w:type="dxa"/>
            <w:gridSpan w:val="6"/>
            <w:vMerge w:val="continue"/>
            <w:tcBorders>
              <w:left w:val="single" w:color="auto"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2017" w:type="dxa"/>
            <w:vMerge w:val="restar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2027" w:type="dxa"/>
            <w:gridSpan w:val="2"/>
            <w:vMerge w:val="restar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科目名称</w:t>
            </w:r>
          </w:p>
        </w:tc>
        <w:tc>
          <w:tcPr>
            <w:tcW w:w="1337" w:type="dxa"/>
            <w:gridSpan w:val="2"/>
            <w:vMerge w:val="restart"/>
            <w:tcBorders>
              <w:top w:val="nil"/>
              <w:left w:val="single" w:color="auto"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合计</w:t>
            </w:r>
          </w:p>
        </w:tc>
        <w:tc>
          <w:tcPr>
            <w:tcW w:w="1338" w:type="dxa"/>
            <w:gridSpan w:val="3"/>
            <w:vMerge w:val="restart"/>
            <w:tcBorders>
              <w:top w:val="nil"/>
              <w:left w:val="nil"/>
              <w:right w:val="single" w:color="000000" w:sz="4" w:space="0"/>
            </w:tcBorders>
            <w:noWrap w:val="0"/>
            <w:vAlign w:val="center"/>
          </w:tcPr>
          <w:p>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基本支出</w:t>
            </w:r>
          </w:p>
        </w:tc>
        <w:tc>
          <w:tcPr>
            <w:tcW w:w="1322" w:type="dxa"/>
            <w:vMerge w:val="restart"/>
            <w:tcBorders>
              <w:top w:val="nil"/>
              <w:left w:val="nil"/>
              <w:right w:val="single" w:color="000000" w:sz="4" w:space="0"/>
            </w:tcBorders>
            <w:noWrap w:val="0"/>
            <w:vAlign w:val="center"/>
          </w:tcPr>
          <w:p>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项目支出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2017" w:type="dxa"/>
            <w:vMerge w:val="continue"/>
            <w:tcBorders>
              <w:top w:val="single" w:color="auto" w:sz="4" w:space="0"/>
              <w:left w:val="single" w:color="auto" w:sz="4" w:space="0"/>
              <w:bottom w:val="single" w:color="auto"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027" w:type="dxa"/>
            <w:gridSpan w:val="2"/>
            <w:vMerge w:val="continue"/>
            <w:tcBorders>
              <w:top w:val="single" w:color="auto" w:sz="4" w:space="0"/>
              <w:left w:val="nil"/>
              <w:bottom w:val="single" w:color="auto" w:sz="4" w:space="0"/>
              <w:right w:val="single" w:color="auto"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337" w:type="dxa"/>
            <w:gridSpan w:val="2"/>
            <w:vMerge w:val="continue"/>
            <w:tcBorders>
              <w:left w:val="single" w:color="auto"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338" w:type="dxa"/>
            <w:gridSpan w:val="3"/>
            <w:vMerge w:val="continue"/>
            <w:tcBorders>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322" w:type="dxa"/>
            <w:vMerge w:val="continue"/>
            <w:tcBorders>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4044" w:type="dxa"/>
            <w:gridSpan w:val="3"/>
            <w:tcBorders>
              <w:top w:val="single" w:color="auto" w:sz="4" w:space="0"/>
              <w:left w:val="single" w:color="auto" w:sz="4" w:space="0"/>
              <w:bottom w:val="single" w:color="000000" w:sz="4" w:space="0"/>
              <w:right w:val="single" w:color="auto" w:sz="4" w:space="0"/>
            </w:tcBorders>
            <w:noWrap/>
            <w:vAlign w:val="center"/>
          </w:tcPr>
          <w:p>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栏次</w:t>
            </w:r>
          </w:p>
        </w:tc>
        <w:tc>
          <w:tcPr>
            <w:tcW w:w="1332" w:type="dxa"/>
            <w:tcBorders>
              <w:top w:val="nil"/>
              <w:left w:val="single" w:color="auto"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1</w:t>
            </w:r>
          </w:p>
        </w:tc>
        <w:tc>
          <w:tcPr>
            <w:tcW w:w="1333" w:type="dxa"/>
            <w:gridSpan w:val="3"/>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2</w:t>
            </w:r>
          </w:p>
        </w:tc>
        <w:tc>
          <w:tcPr>
            <w:tcW w:w="1332"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4044" w:type="dxa"/>
            <w:gridSpan w:val="3"/>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Times New Roman" w:hAnsi="Times New Roman" w:eastAsia="宋体"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合计</w:t>
            </w:r>
          </w:p>
        </w:tc>
        <w:tc>
          <w:tcPr>
            <w:tcW w:w="1332" w:type="dxa"/>
            <w:tcBorders>
              <w:top w:val="single" w:color="000000" w:sz="4" w:space="0"/>
              <w:left w:val="single" w:color="000000" w:sz="4" w:space="0"/>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33" w:type="dxa"/>
            <w:gridSpan w:val="3"/>
            <w:tcBorders>
              <w:top w:val="single" w:color="000000" w:sz="4" w:space="0"/>
              <w:left w:val="single" w:color="000000" w:sz="4" w:space="0"/>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32" w:type="dxa"/>
            <w:gridSpan w:val="2"/>
            <w:tcBorders>
              <w:top w:val="single" w:color="000000" w:sz="4" w:space="0"/>
              <w:left w:val="single" w:color="000000" w:sz="4" w:space="0"/>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8041" w:type="dxa"/>
            <w:gridSpan w:val="9"/>
            <w:tcBorders>
              <w:top w:val="nil"/>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注：本表反映部门本年度国有资本经营预算财政拨款支出情况。（如无相关数据，则需注明空表列示）</w:t>
            </w:r>
          </w:p>
        </w:tc>
      </w:tr>
    </w:tbl>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lang w:eastAsia="zh-CN"/>
        </w:rPr>
        <w:t>本单位本年度无相关支出情况，按要求以空表列示。</w:t>
      </w:r>
    </w:p>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pPr w:leftFromText="180" w:rightFromText="180" w:vertAnchor="text" w:horzAnchor="page" w:tblpX="282" w:tblpY="39"/>
        <w:tblOverlap w:val="never"/>
        <w:tblW w:w="1159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87"/>
        <w:gridCol w:w="1226"/>
        <w:gridCol w:w="814"/>
        <w:gridCol w:w="946"/>
        <w:gridCol w:w="519"/>
        <w:gridCol w:w="544"/>
        <w:gridCol w:w="777"/>
        <w:gridCol w:w="845"/>
        <w:gridCol w:w="5"/>
        <w:gridCol w:w="1133"/>
        <w:gridCol w:w="640"/>
        <w:gridCol w:w="1027"/>
        <w:gridCol w:w="946"/>
        <w:gridCol w:w="118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50" w:hRule="atLeast"/>
        </w:trPr>
        <w:tc>
          <w:tcPr>
            <w:tcW w:w="11596" w:type="dxa"/>
            <w:gridSpan w:val="14"/>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财政拨款“三公”经费支出决算表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60" w:hRule="atLeast"/>
        </w:trPr>
        <w:tc>
          <w:tcPr>
            <w:tcW w:w="11596" w:type="dxa"/>
            <w:gridSpan w:val="14"/>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公开</w:t>
            </w:r>
            <w:r>
              <w:rPr>
                <w:rFonts w:hint="default" w:ascii="Times New Roman" w:hAnsi="Times New Roman" w:eastAsia="方正仿宋_GB2312" w:cs="Times New Roman"/>
                <w:i w:val="0"/>
                <w:iCs w:val="0"/>
                <w:color w:val="000000"/>
                <w:kern w:val="0"/>
                <w:sz w:val="18"/>
                <w:szCs w:val="18"/>
                <w:highlight w:val="none"/>
                <w:u w:val="none"/>
                <w:lang w:val="en-US" w:eastAsia="zh-CN" w:bidi="ar"/>
              </w:rPr>
              <w:t>09</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60" w:hRule="atLeast"/>
        </w:trPr>
        <w:tc>
          <w:tcPr>
            <w:tcW w:w="4492" w:type="dxa"/>
            <w:gridSpan w:val="5"/>
            <w:tcBorders>
              <w:top w:val="nil"/>
              <w:left w:val="nil"/>
              <w:bottom w:val="single" w:color="auto" w:sz="4" w:space="0"/>
              <w:right w:val="nil"/>
            </w:tcBorders>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编制部门（单位）：衡水市科普宣传教育中心</w:t>
            </w:r>
          </w:p>
        </w:tc>
        <w:tc>
          <w:tcPr>
            <w:tcW w:w="2166" w:type="dxa"/>
            <w:gridSpan w:val="3"/>
            <w:tcBorders>
              <w:top w:val="nil"/>
              <w:left w:val="nil"/>
              <w:bottom w:val="single" w:color="auto" w:sz="4" w:space="0"/>
              <w:right w:val="nil"/>
            </w:tcBorders>
            <w:noWrap/>
            <w:vAlign w:val="bottom"/>
          </w:tcPr>
          <w:p>
            <w:pPr>
              <w:keepNext w:val="0"/>
              <w:keepLines w:val="0"/>
              <w:widowControl/>
              <w:suppressLineNumbers w:val="0"/>
              <w:jc w:val="center"/>
              <w:textAlignment w:val="bottom"/>
              <w:rPr>
                <w:rFonts w:hint="default" w:ascii="宋体" w:hAnsi="宋体" w:eastAsia="宋体" w:cs="宋体"/>
                <w:i w:val="0"/>
                <w:iCs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2023</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年度</w:t>
            </w:r>
          </w:p>
        </w:tc>
        <w:tc>
          <w:tcPr>
            <w:tcW w:w="4938" w:type="dxa"/>
            <w:gridSpan w:val="6"/>
            <w:tcBorders>
              <w:top w:val="nil"/>
              <w:left w:val="nil"/>
              <w:bottom w:val="single" w:color="auto" w:sz="4" w:space="0"/>
              <w:right w:val="nil"/>
            </w:tcBorders>
            <w:noWrap/>
            <w:vAlign w:val="bottom"/>
          </w:tcPr>
          <w:p>
            <w:pPr>
              <w:keepNext w:val="0"/>
              <w:keepLines w:val="0"/>
              <w:widowControl/>
              <w:suppressLineNumbers w:val="0"/>
              <w:jc w:val="right"/>
              <w:textAlignment w:val="bottom"/>
              <w:rPr>
                <w:rFonts w:hint="default" w:ascii="宋体" w:hAnsi="宋体" w:eastAsia="宋体" w:cs="宋体"/>
                <w:i w:val="0"/>
                <w:iCs w:val="0"/>
                <w:color w:val="000000"/>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31" w:hRule="atLeast"/>
        </w:trPr>
        <w:tc>
          <w:tcPr>
            <w:tcW w:w="5813" w:type="dxa"/>
            <w:gridSpan w:val="7"/>
            <w:tcBorders>
              <w:top w:val="single" w:color="auto"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预算数</w:t>
            </w:r>
          </w:p>
        </w:tc>
        <w:tc>
          <w:tcPr>
            <w:tcW w:w="5783" w:type="dxa"/>
            <w:gridSpan w:val="7"/>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决算数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31" w:hRule="atLeast"/>
        </w:trPr>
        <w:tc>
          <w:tcPr>
            <w:tcW w:w="987" w:type="dxa"/>
            <w:vMerge w:val="restar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合计</w:t>
            </w:r>
          </w:p>
        </w:tc>
        <w:tc>
          <w:tcPr>
            <w:tcW w:w="1226" w:type="dxa"/>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w:t>
            </w:r>
          </w:p>
        </w:tc>
        <w:tc>
          <w:tcPr>
            <w:tcW w:w="2823" w:type="dxa"/>
            <w:gridSpan w:val="4"/>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公务用车购置及运行维护费</w:t>
            </w:r>
          </w:p>
        </w:tc>
        <w:tc>
          <w:tcPr>
            <w:tcW w:w="777" w:type="dxa"/>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c>
          <w:tcPr>
            <w:tcW w:w="850" w:type="dxa"/>
            <w:gridSpan w:val="2"/>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合计</w:t>
            </w:r>
          </w:p>
        </w:tc>
        <w:tc>
          <w:tcPr>
            <w:tcW w:w="1133" w:type="dxa"/>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w:t>
            </w:r>
          </w:p>
        </w:tc>
        <w:tc>
          <w:tcPr>
            <w:tcW w:w="2613" w:type="dxa"/>
            <w:gridSpan w:val="3"/>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公务用车购置及运行维护费</w:t>
            </w:r>
          </w:p>
        </w:tc>
        <w:tc>
          <w:tcPr>
            <w:tcW w:w="1187" w:type="dxa"/>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31" w:hRule="atLeast"/>
        </w:trPr>
        <w:tc>
          <w:tcPr>
            <w:tcW w:w="987" w:type="dxa"/>
            <w:vMerge w:val="continue"/>
            <w:tcBorders>
              <w:top w:val="nil"/>
              <w:left w:val="single" w:color="000000" w:sz="4" w:space="0"/>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1226" w:type="dxa"/>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81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小计</w:t>
            </w:r>
          </w:p>
        </w:tc>
        <w:tc>
          <w:tcPr>
            <w:tcW w:w="946"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公务用车购置费</w:t>
            </w:r>
          </w:p>
        </w:tc>
        <w:tc>
          <w:tcPr>
            <w:tcW w:w="1063"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777" w:type="dxa"/>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850" w:type="dxa"/>
            <w:gridSpan w:val="2"/>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1133" w:type="dxa"/>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640"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小计</w:t>
            </w:r>
          </w:p>
        </w:tc>
        <w:tc>
          <w:tcPr>
            <w:tcW w:w="1027"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公务用车购置费</w:t>
            </w:r>
          </w:p>
        </w:tc>
        <w:tc>
          <w:tcPr>
            <w:tcW w:w="946"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1187" w:type="dxa"/>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31" w:hRule="atLeast"/>
        </w:trPr>
        <w:tc>
          <w:tcPr>
            <w:tcW w:w="987"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w:t>
            </w:r>
          </w:p>
        </w:tc>
        <w:tc>
          <w:tcPr>
            <w:tcW w:w="1226"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2</w:t>
            </w:r>
          </w:p>
        </w:tc>
        <w:tc>
          <w:tcPr>
            <w:tcW w:w="81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3</w:t>
            </w:r>
          </w:p>
        </w:tc>
        <w:tc>
          <w:tcPr>
            <w:tcW w:w="946"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4</w:t>
            </w:r>
          </w:p>
        </w:tc>
        <w:tc>
          <w:tcPr>
            <w:tcW w:w="1063"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5</w:t>
            </w:r>
          </w:p>
        </w:tc>
        <w:tc>
          <w:tcPr>
            <w:tcW w:w="777"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6</w:t>
            </w:r>
          </w:p>
        </w:tc>
        <w:tc>
          <w:tcPr>
            <w:tcW w:w="850"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7</w:t>
            </w:r>
          </w:p>
        </w:tc>
        <w:tc>
          <w:tcPr>
            <w:tcW w:w="1133"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8</w:t>
            </w:r>
          </w:p>
        </w:tc>
        <w:tc>
          <w:tcPr>
            <w:tcW w:w="640"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9</w:t>
            </w:r>
          </w:p>
        </w:tc>
        <w:tc>
          <w:tcPr>
            <w:tcW w:w="1027"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10</w:t>
            </w:r>
          </w:p>
        </w:tc>
        <w:tc>
          <w:tcPr>
            <w:tcW w:w="946"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11</w:t>
            </w:r>
          </w:p>
        </w:tc>
        <w:tc>
          <w:tcPr>
            <w:tcW w:w="1187"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31" w:hRule="atLeast"/>
        </w:trPr>
        <w:tc>
          <w:tcPr>
            <w:tcW w:w="987" w:type="dxa"/>
            <w:tcBorders>
              <w:top w:val="nil"/>
              <w:left w:val="single" w:color="000000" w:sz="4" w:space="0"/>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12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81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94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1063"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77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850"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1133"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640"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94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11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31" w:hRule="atLeast"/>
        </w:trPr>
        <w:tc>
          <w:tcPr>
            <w:tcW w:w="11596" w:type="dxa"/>
            <w:gridSpan w:val="14"/>
            <w:tcBorders>
              <w:top w:val="nil"/>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注：本表反映部门本年度财政拨款“三公”经费支出预决算情况。其中：预算数为“三公”经费全年预算数，反映按规定程序调整后的预算数；决算数是包括当年财政拨款和以前年度结转资金安排的实际支出。</w:t>
            </w:r>
          </w:p>
        </w:tc>
      </w:tr>
    </w:tbl>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lang w:eastAsia="zh-CN"/>
        </w:rPr>
        <w:t>本单位本年度无相关支出情况，按要求以空表列示。</w:t>
      </w:r>
      <w:r>
        <w:rPr>
          <w:rFonts w:hint="eastAsia" w:ascii="仿宋_GB2312" w:hAnsi="宋体" w:eastAsia="仿宋_GB2312"/>
          <w:b/>
          <w:color w:val="auto"/>
          <w:kern w:val="0"/>
          <w:sz w:val="32"/>
          <w:szCs w:val="32"/>
          <w:highlight w:val="none"/>
        </w:rPr>
        <w:br w:type="page"/>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sectPr>
          <w:pgSz w:w="11906" w:h="16838"/>
          <w:pgMar w:top="1531" w:right="1984" w:bottom="1531" w:left="2098" w:header="851" w:footer="992" w:gutter="0"/>
          <w:pgBorders>
            <w:top w:val="none" w:sz="0" w:space="0"/>
            <w:left w:val="none" w:sz="0" w:space="0"/>
            <w:bottom w:val="none" w:sz="0" w:space="0"/>
            <w:right w:val="none" w:sz="0" w:space="0"/>
          </w:pgBorders>
          <w:cols w:space="720" w:num="1"/>
          <w:docGrid w:type="lines" w:linePitch="312" w:charSpace="0"/>
        </w:sect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outlineLvl w:val="0"/>
        <w:rPr>
          <w:rFonts w:hint="default" w:ascii="Arial" w:hAnsi="Arial" w:eastAsia="Arial" w:cs="Arial"/>
          <w:highlight w:val="none"/>
        </w:rPr>
      </w:pPr>
      <w:r>
        <w:rPr>
          <w:rFonts w:hint="eastAsia" w:ascii="黑体" w:hAnsi="宋体" w:eastAsia="黑体" w:cs="黑体"/>
          <w:i w:val="0"/>
          <w:iCs w:val="0"/>
          <w:caps w:val="0"/>
          <w:color w:val="000000"/>
          <w:spacing w:val="0"/>
          <w:sz w:val="72"/>
          <w:szCs w:val="72"/>
          <w:highlight w:val="none"/>
          <w:shd w:val="clear" w:fill="FFFFFF"/>
        </w:rPr>
        <w:t>第三部分</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spacing w:val="-20"/>
          <w:highlight w:val="none"/>
        </w:rPr>
      </w:pPr>
      <w:r>
        <w:rPr>
          <w:rFonts w:hint="eastAsia" w:ascii="黑体" w:hAnsi="宋体" w:eastAsia="黑体" w:cs="黑体"/>
          <w:i w:val="0"/>
          <w:iCs w:val="0"/>
          <w:caps w:val="0"/>
          <w:color w:val="000000"/>
          <w:spacing w:val="-20"/>
          <w:sz w:val="72"/>
          <w:szCs w:val="72"/>
          <w:highlight w:val="none"/>
          <w:shd w:val="clear" w:fill="FFFFFF"/>
        </w:rPr>
        <w:t>202</w:t>
      </w:r>
      <w:r>
        <w:rPr>
          <w:rFonts w:hint="eastAsia" w:ascii="黑体" w:hAnsi="宋体" w:eastAsia="黑体" w:cs="黑体"/>
          <w:i w:val="0"/>
          <w:iCs w:val="0"/>
          <w:caps w:val="0"/>
          <w:color w:val="000000"/>
          <w:spacing w:val="-20"/>
          <w:sz w:val="72"/>
          <w:szCs w:val="72"/>
          <w:highlight w:val="none"/>
          <w:shd w:val="clear" w:fill="FFFFFF"/>
          <w:lang w:val="en-US" w:eastAsia="zh-CN"/>
        </w:rPr>
        <w:t>3</w:t>
      </w:r>
      <w:r>
        <w:rPr>
          <w:rFonts w:hint="eastAsia" w:ascii="黑体" w:hAnsi="宋体" w:eastAsia="黑体" w:cs="黑体"/>
          <w:i w:val="0"/>
          <w:iCs w:val="0"/>
          <w:caps w:val="0"/>
          <w:color w:val="000000"/>
          <w:spacing w:val="-20"/>
          <w:sz w:val="72"/>
          <w:szCs w:val="72"/>
          <w:highlight w:val="none"/>
          <w:shd w:val="clear" w:fill="FFFFFF"/>
        </w:rPr>
        <w:t>年</w:t>
      </w:r>
      <w:r>
        <w:rPr>
          <w:rFonts w:hint="eastAsia" w:ascii="黑体" w:hAnsi="宋体" w:eastAsia="黑体" w:cs="黑体"/>
          <w:i w:val="0"/>
          <w:iCs w:val="0"/>
          <w:caps w:val="0"/>
          <w:color w:val="000000"/>
          <w:spacing w:val="-20"/>
          <w:sz w:val="72"/>
          <w:szCs w:val="72"/>
          <w:highlight w:val="none"/>
          <w:shd w:val="clear" w:fill="FFFFFF"/>
          <w:lang w:val="en-US" w:eastAsia="zh-CN"/>
        </w:rPr>
        <w:t>度</w:t>
      </w:r>
      <w:r>
        <w:rPr>
          <w:rFonts w:hint="eastAsia" w:ascii="黑体" w:hAnsi="宋体" w:eastAsia="黑体" w:cs="黑体"/>
          <w:i w:val="0"/>
          <w:iCs w:val="0"/>
          <w:caps w:val="0"/>
          <w:color w:val="000000"/>
          <w:spacing w:val="-20"/>
          <w:sz w:val="72"/>
          <w:szCs w:val="72"/>
          <w:highlight w:val="none"/>
          <w:shd w:val="clear" w:fill="FFFFFF"/>
        </w:rPr>
        <w:t>部门决算情况说明</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i w:val="0"/>
          <w:iCs w:val="0"/>
          <w:caps w:val="0"/>
          <w:color w:val="000000"/>
          <w:spacing w:val="0"/>
          <w:sz w:val="18"/>
          <w:szCs w:val="18"/>
          <w:highlight w:val="none"/>
          <w:shd w:val="clear" w:fill="FFFFFF"/>
        </w:rPr>
      </w:pPr>
      <w:r>
        <w:rPr>
          <w:rFonts w:hint="default" w:ascii="Arial" w:hAnsi="Arial" w:eastAsia="Arial" w:cs="Arial"/>
          <w:i w:val="0"/>
          <w:iCs w:val="0"/>
          <w:caps w:val="0"/>
          <w:color w:val="000000"/>
          <w:spacing w:val="0"/>
          <w:sz w:val="18"/>
          <w:szCs w:val="18"/>
          <w:highlight w:val="none"/>
          <w:shd w:val="clear" w:fill="FFFFFF"/>
        </w:rPr>
        <w:t> </w:t>
      </w:r>
    </w:p>
    <w:p>
      <w:pPr>
        <w:rPr>
          <w:rFonts w:hint="default" w:ascii="Arial" w:hAnsi="Arial" w:eastAsia="Arial" w:cs="Arial"/>
          <w:i w:val="0"/>
          <w:iCs w:val="0"/>
          <w:caps w:val="0"/>
          <w:color w:val="000000"/>
          <w:spacing w:val="0"/>
          <w:sz w:val="18"/>
          <w:szCs w:val="18"/>
          <w:highlight w:val="none"/>
          <w:shd w:val="clear" w:fill="FFFFFF"/>
        </w:rPr>
      </w:pPr>
      <w:r>
        <w:rPr>
          <w:rFonts w:hint="default" w:ascii="Arial" w:hAnsi="Arial" w:eastAsia="Arial" w:cs="Arial"/>
          <w:i w:val="0"/>
          <w:iCs w:val="0"/>
          <w:caps w:val="0"/>
          <w:color w:val="000000"/>
          <w:spacing w:val="0"/>
          <w:sz w:val="18"/>
          <w:szCs w:val="18"/>
          <w:highlight w:val="none"/>
          <w:shd w:val="clear" w:fill="FFFFFF"/>
        </w:rPr>
        <w:br w:type="page"/>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i w:val="0"/>
          <w:iCs w:val="0"/>
          <w:caps w:val="0"/>
          <w:color w:val="000000"/>
          <w:spacing w:val="0"/>
          <w:sz w:val="18"/>
          <w:szCs w:val="18"/>
          <w:highlight w:val="none"/>
          <w:shd w:val="clear" w:fill="FFFFFF"/>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黑体" w:hAnsi="Calibri" w:eastAsia="黑体" w:cs="Times New Roman"/>
          <w:kern w:val="2"/>
          <w:sz w:val="32"/>
          <w:szCs w:val="32"/>
          <w:lang w:val="en-US" w:eastAsia="zh-CN" w:bidi="ar-SA"/>
        </w:rPr>
      </w:pPr>
      <w:r>
        <w:rPr>
          <w:rFonts w:hint="eastAsia" w:ascii="黑体" w:hAnsi="Calibri" w:eastAsia="黑体" w:cs="Times New Roman"/>
          <w:kern w:val="2"/>
          <w:sz w:val="32"/>
          <w:szCs w:val="32"/>
          <w:lang w:val="en-US" w:eastAsia="zh-CN" w:bidi="ar-SA"/>
        </w:rPr>
        <w:t>一、收入支出决算总体情况说明</w:t>
      </w:r>
    </w:p>
    <w:p>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highlight w:val="yellow"/>
          <w:lang w:val="en-US" w:eastAsia="zh-CN" w:bidi="ar-SA"/>
        </w:rPr>
      </w:pPr>
      <w:r>
        <w:rPr>
          <w:rFonts w:hint="default" w:ascii="Times New Roman" w:hAnsi="Times New Roman" w:eastAsia="仿宋_GB2312" w:cs="Times New Roman"/>
          <w:kern w:val="2"/>
          <w:sz w:val="32"/>
          <w:szCs w:val="32"/>
          <w:lang w:eastAsia="zh-CN"/>
        </w:rPr>
        <w:t>本单位2023年度收、支总计（含结转和结余）</w:t>
      </w:r>
      <w:r>
        <w:rPr>
          <w:rFonts w:hint="default" w:ascii="Times New Roman" w:hAnsi="Times New Roman" w:eastAsia="仿宋_GB2312" w:cs="Times New Roman"/>
          <w:kern w:val="2"/>
          <w:sz w:val="32"/>
          <w:szCs w:val="32"/>
          <w:lang w:val="zh-CN" w:eastAsia="zh-CN"/>
        </w:rPr>
        <w:t>141.2</w:t>
      </w:r>
      <w:r>
        <w:rPr>
          <w:rFonts w:hint="default" w:ascii="Times New Roman" w:hAnsi="Times New Roman" w:eastAsia="仿宋_GB2312" w:cs="Times New Roman"/>
          <w:kern w:val="2"/>
          <w:sz w:val="32"/>
          <w:szCs w:val="32"/>
          <w:lang w:eastAsia="zh-CN"/>
        </w:rPr>
        <w:t>万元。与2022年度决算相比，收支各减少</w:t>
      </w:r>
      <w:r>
        <w:rPr>
          <w:rFonts w:hint="eastAsia" w:ascii="Times New Roman" w:hAnsi="Times New Roman" w:eastAsia="仿宋_GB2312" w:cs="Times New Roman"/>
          <w:kern w:val="2"/>
          <w:sz w:val="32"/>
          <w:szCs w:val="32"/>
          <w:lang w:val="en-US" w:eastAsia="zh-CN"/>
        </w:rPr>
        <w:t>9.57</w:t>
      </w:r>
      <w:r>
        <w:rPr>
          <w:rFonts w:hint="default" w:ascii="Times New Roman" w:hAnsi="Times New Roman" w:eastAsia="仿宋_GB2312" w:cs="Times New Roman"/>
          <w:kern w:val="2"/>
          <w:sz w:val="32"/>
          <w:szCs w:val="32"/>
          <w:lang w:eastAsia="zh-CN"/>
        </w:rPr>
        <w:t>万元，下降</w:t>
      </w:r>
      <w:r>
        <w:rPr>
          <w:rFonts w:hint="eastAsia" w:ascii="Times New Roman" w:hAnsi="Times New Roman" w:eastAsia="仿宋_GB2312" w:cs="Times New Roman"/>
          <w:kern w:val="2"/>
          <w:sz w:val="32"/>
          <w:szCs w:val="32"/>
          <w:lang w:val="en-US" w:eastAsia="zh-CN"/>
        </w:rPr>
        <w:t>6.36</w:t>
      </w:r>
      <w:r>
        <w:rPr>
          <w:rFonts w:hint="default" w:ascii="Times New Roman" w:hAnsi="Times New Roman" w:eastAsia="仿宋_GB2312" w:cs="Times New Roman"/>
          <w:kern w:val="2"/>
          <w:sz w:val="32"/>
          <w:szCs w:val="32"/>
          <w:lang w:eastAsia="zh-CN"/>
        </w:rPr>
        <w:t>%，主要原因是</w:t>
      </w:r>
      <w:r>
        <w:rPr>
          <w:rFonts w:hint="eastAsia" w:ascii="仿宋" w:hAnsi="仿宋" w:eastAsia="仿宋" w:cs="仿宋"/>
          <w:sz w:val="32"/>
          <w:szCs w:val="32"/>
        </w:rPr>
        <w:t>人员经费</w:t>
      </w:r>
      <w:r>
        <w:rPr>
          <w:rFonts w:hint="eastAsia" w:ascii="仿宋" w:hAnsi="仿宋" w:eastAsia="仿宋" w:cs="仿宋"/>
          <w:sz w:val="32"/>
          <w:szCs w:val="32"/>
          <w:lang w:eastAsia="zh-CN"/>
        </w:rPr>
        <w:t>减少</w:t>
      </w:r>
      <w:r>
        <w:rPr>
          <w:rFonts w:hint="eastAsia" w:ascii="仿宋" w:hAnsi="仿宋" w:eastAsia="仿宋" w:cs="仿宋"/>
          <w:sz w:val="32"/>
          <w:szCs w:val="32"/>
        </w:rPr>
        <w:t>所致</w:t>
      </w:r>
      <w:r>
        <w:rPr>
          <w:rFonts w:hint="eastAsia" w:ascii="仿宋" w:hAnsi="仿宋" w:eastAsia="仿宋" w:cs="仿宋"/>
          <w:kern w:val="2"/>
          <w:sz w:val="32"/>
          <w:szCs w:val="32"/>
          <w:lang w:eastAsia="zh-CN"/>
        </w:rPr>
        <w:t>。</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Arial" w:cs="Times New Roman"/>
          <w:highlight w:val="none"/>
        </w:rPr>
      </w:pPr>
      <w:r>
        <w:rPr>
          <w:rFonts w:hint="default" w:ascii="Times New Roman" w:hAnsi="Times New Roman" w:eastAsia="Arial" w:cs="Times New Roman"/>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黑体" w:cs="Times New Roman"/>
          <w:kern w:val="2"/>
          <w:sz w:val="32"/>
          <w:szCs w:val="32"/>
          <w:lang w:val="en-US" w:eastAsia="zh-CN" w:bidi="ar-SA"/>
        </w:rPr>
      </w:pPr>
      <w:r>
        <w:rPr>
          <w:rFonts w:hint="default" w:ascii="Times New Roman" w:hAnsi="Times New Roman" w:eastAsia="黑体" w:cs="Times New Roman"/>
          <w:kern w:val="2"/>
          <w:sz w:val="32"/>
          <w:szCs w:val="32"/>
          <w:lang w:val="en-US" w:eastAsia="zh-CN" w:bidi="ar-SA"/>
        </w:rPr>
        <w:t>二、收入决算情况说明</w:t>
      </w:r>
    </w:p>
    <w:p>
      <w:pPr>
        <w:autoSpaceDE w:val="0"/>
        <w:autoSpaceDN w:val="0"/>
        <w:adjustRightInd w:val="0"/>
        <w:spacing w:line="580" w:lineRule="exact"/>
        <w:ind w:firstLine="640" w:firstLineChars="200"/>
        <w:jc w:val="left"/>
        <w:rPr>
          <w:rFonts w:hint="eastAsia"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zh-CN" w:eastAsia="zh-CN"/>
        </w:rPr>
        <w:t>本单位2023</w:t>
      </w:r>
      <w:r>
        <w:rPr>
          <w:rFonts w:hint="default" w:ascii="Times New Roman" w:hAnsi="Times New Roman" w:eastAsia="仿宋_GB2312" w:cs="Times New Roman"/>
          <w:kern w:val="2"/>
          <w:sz w:val="32"/>
          <w:szCs w:val="32"/>
          <w:lang w:val="zh-CN"/>
        </w:rPr>
        <w:t>年度本年收入合计</w:t>
      </w:r>
      <w:r>
        <w:rPr>
          <w:rFonts w:hint="default" w:ascii="Times New Roman" w:hAnsi="Times New Roman" w:eastAsia="仿宋_GB2312" w:cs="Times New Roman"/>
          <w:sz w:val="30"/>
          <w:szCs w:val="30"/>
          <w:highlight w:val="none"/>
          <w:lang w:eastAsia="zh-CN"/>
        </w:rPr>
        <w:t>141.2</w:t>
      </w:r>
      <w:r>
        <w:rPr>
          <w:rFonts w:hint="default" w:ascii="Times New Roman" w:hAnsi="Times New Roman" w:eastAsia="仿宋_GB2312" w:cs="Times New Roman"/>
          <w:kern w:val="2"/>
          <w:sz w:val="32"/>
          <w:szCs w:val="32"/>
          <w:lang w:val="zh-CN" w:eastAsia="zh-CN"/>
        </w:rPr>
        <w:t>万元</w:t>
      </w:r>
      <w:r>
        <w:rPr>
          <w:rFonts w:hint="default" w:ascii="Times New Roman" w:hAnsi="Times New Roman" w:eastAsia="仿宋_GB2312" w:cs="Times New Roman"/>
          <w:kern w:val="2"/>
          <w:sz w:val="32"/>
          <w:szCs w:val="32"/>
          <w:lang w:val="zh-CN"/>
        </w:rPr>
        <w:t>，其中：财政拨款收入141.2万元，占100%；上级补助收入0万元，</w:t>
      </w:r>
      <w:r>
        <w:rPr>
          <w:rFonts w:hint="default" w:ascii="Times New Roman" w:hAnsi="Times New Roman" w:eastAsia="仿宋_GB2312" w:cs="Times New Roman"/>
          <w:kern w:val="2"/>
          <w:sz w:val="32"/>
          <w:szCs w:val="32"/>
          <w:lang w:val="zh-CN" w:eastAsia="zh-CN"/>
        </w:rPr>
        <w:t>占</w:t>
      </w:r>
      <w:r>
        <w:rPr>
          <w:rFonts w:hint="default" w:ascii="Times New Roman" w:hAnsi="Times New Roman" w:eastAsia="仿宋_GB2312" w:cs="Times New Roman"/>
          <w:kern w:val="2"/>
          <w:sz w:val="32"/>
          <w:szCs w:val="32"/>
          <w:lang w:val="zh-CN"/>
        </w:rPr>
        <w:t>0%；事业收入0万元，</w:t>
      </w:r>
      <w:r>
        <w:rPr>
          <w:rFonts w:hint="default" w:ascii="Times New Roman" w:hAnsi="Times New Roman" w:eastAsia="仿宋_GB2312" w:cs="Times New Roman"/>
          <w:kern w:val="2"/>
          <w:sz w:val="32"/>
          <w:szCs w:val="32"/>
          <w:lang w:val="zh-CN" w:eastAsia="zh-CN"/>
        </w:rPr>
        <w:t>占</w:t>
      </w:r>
      <w:r>
        <w:rPr>
          <w:rFonts w:hint="default" w:ascii="Times New Roman" w:hAnsi="Times New Roman" w:eastAsia="仿宋_GB2312" w:cs="Times New Roman"/>
          <w:kern w:val="2"/>
          <w:sz w:val="32"/>
          <w:szCs w:val="32"/>
          <w:lang w:val="zh-CN"/>
        </w:rPr>
        <w:t>0%；经营收入0万元，</w:t>
      </w:r>
      <w:r>
        <w:rPr>
          <w:rFonts w:hint="default" w:ascii="Times New Roman" w:hAnsi="Times New Roman" w:eastAsia="仿宋_GB2312" w:cs="Times New Roman"/>
          <w:kern w:val="2"/>
          <w:sz w:val="32"/>
          <w:szCs w:val="32"/>
          <w:lang w:val="zh-CN" w:eastAsia="zh-CN"/>
        </w:rPr>
        <w:t>占</w:t>
      </w:r>
      <w:r>
        <w:rPr>
          <w:rFonts w:hint="default" w:ascii="Times New Roman" w:hAnsi="Times New Roman" w:eastAsia="仿宋_GB2312" w:cs="Times New Roman"/>
          <w:kern w:val="2"/>
          <w:sz w:val="32"/>
          <w:szCs w:val="32"/>
          <w:lang w:val="zh-CN"/>
        </w:rPr>
        <w:t>0%；附属单位上缴收入0万元，</w:t>
      </w:r>
      <w:r>
        <w:rPr>
          <w:rFonts w:hint="default" w:ascii="Times New Roman" w:hAnsi="Times New Roman" w:eastAsia="仿宋_GB2312" w:cs="Times New Roman"/>
          <w:kern w:val="2"/>
          <w:sz w:val="32"/>
          <w:szCs w:val="32"/>
          <w:lang w:val="zh-CN" w:eastAsia="zh-CN"/>
        </w:rPr>
        <w:t>占</w:t>
      </w:r>
      <w:r>
        <w:rPr>
          <w:rFonts w:hint="default" w:ascii="Times New Roman" w:hAnsi="Times New Roman" w:eastAsia="仿宋_GB2312" w:cs="Times New Roman"/>
          <w:kern w:val="2"/>
          <w:sz w:val="32"/>
          <w:szCs w:val="32"/>
          <w:lang w:val="zh-CN"/>
        </w:rPr>
        <w:t>0%；其他收入0万元，</w:t>
      </w:r>
      <w:r>
        <w:rPr>
          <w:rFonts w:hint="default" w:ascii="Times New Roman" w:hAnsi="Times New Roman" w:eastAsia="仿宋_GB2312" w:cs="Times New Roman"/>
          <w:kern w:val="2"/>
          <w:sz w:val="32"/>
          <w:szCs w:val="32"/>
          <w:lang w:val="zh-CN" w:eastAsia="zh-CN"/>
        </w:rPr>
        <w:t>占</w:t>
      </w:r>
      <w:r>
        <w:rPr>
          <w:rFonts w:hint="default" w:ascii="Times New Roman" w:hAnsi="Times New Roman" w:eastAsia="仿宋_GB2312" w:cs="Times New Roman"/>
          <w:kern w:val="2"/>
          <w:sz w:val="32"/>
          <w:szCs w:val="32"/>
          <w:lang w:val="zh-CN"/>
        </w:rPr>
        <w:t>0%</w:t>
      </w:r>
      <w:r>
        <w:rPr>
          <w:rFonts w:hint="eastAsia" w:ascii="Times New Roman" w:hAnsi="Times New Roman" w:eastAsia="仿宋_GB2312" w:cs="Times New Roman"/>
          <w:kern w:val="2"/>
          <w:sz w:val="32"/>
          <w:szCs w:val="32"/>
          <w:lang w:val="zh-CN"/>
        </w:rPr>
        <w:t>。</w:t>
      </w:r>
    </w:p>
    <w:p>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黑体" w:cs="Times New Roman"/>
          <w:kern w:val="2"/>
          <w:sz w:val="32"/>
          <w:szCs w:val="32"/>
          <w:lang w:val="en-US" w:eastAsia="zh-CN" w:bidi="ar-SA"/>
        </w:rPr>
      </w:pPr>
      <w:r>
        <w:rPr>
          <w:rFonts w:hint="default" w:ascii="Times New Roman" w:hAnsi="Times New Roman" w:eastAsia="黑体" w:cs="Times New Roman"/>
          <w:kern w:val="2"/>
          <w:sz w:val="32"/>
          <w:szCs w:val="32"/>
          <w:lang w:val="en-US" w:eastAsia="zh-CN" w:bidi="ar-SA"/>
        </w:rPr>
        <w:t>三、支出决算情况说明</w:t>
      </w:r>
    </w:p>
    <w:p>
      <w:pPr>
        <w:autoSpaceDE w:val="0"/>
        <w:autoSpaceDN w:val="0"/>
        <w:adjustRightInd w:val="0"/>
        <w:spacing w:line="580" w:lineRule="exact"/>
        <w:ind w:firstLine="6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zh-CN" w:eastAsia="zh-CN"/>
        </w:rPr>
        <w:t>本单位2023</w:t>
      </w:r>
      <w:r>
        <w:rPr>
          <w:rFonts w:hint="default" w:ascii="Times New Roman" w:hAnsi="Times New Roman" w:eastAsia="仿宋_GB2312" w:cs="Times New Roman"/>
          <w:kern w:val="2"/>
          <w:sz w:val="32"/>
          <w:szCs w:val="32"/>
          <w:lang w:val="zh-CN"/>
        </w:rPr>
        <w:t>年度本年支出合计</w:t>
      </w:r>
      <w:r>
        <w:rPr>
          <w:rFonts w:hint="default" w:ascii="Times New Roman" w:hAnsi="Times New Roman" w:eastAsia="仿宋_GB2312" w:cs="Times New Roman"/>
          <w:kern w:val="2"/>
          <w:sz w:val="32"/>
          <w:szCs w:val="32"/>
          <w:lang w:val="zh-CN" w:eastAsia="zh-CN"/>
        </w:rPr>
        <w:t>141.2万元</w:t>
      </w:r>
      <w:r>
        <w:rPr>
          <w:rFonts w:hint="default" w:ascii="Times New Roman" w:hAnsi="Times New Roman" w:eastAsia="仿宋_GB2312" w:cs="Times New Roman"/>
          <w:kern w:val="2"/>
          <w:sz w:val="32"/>
          <w:szCs w:val="32"/>
          <w:lang w:val="zh-CN"/>
        </w:rPr>
        <w:t>，其中：基本支出</w:t>
      </w:r>
      <w:r>
        <w:rPr>
          <w:rFonts w:hint="default" w:ascii="Times New Roman" w:hAnsi="Times New Roman" w:eastAsia="仿宋_GB2312" w:cs="Times New Roman"/>
          <w:kern w:val="2"/>
          <w:sz w:val="32"/>
          <w:szCs w:val="32"/>
          <w:lang w:val="zh-CN" w:eastAsia="zh-CN"/>
        </w:rPr>
        <w:t>141.2万元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占100%；</w:t>
      </w:r>
      <w:r>
        <w:rPr>
          <w:rFonts w:hint="default" w:ascii="Times New Roman" w:hAnsi="Times New Roman" w:eastAsia="仿宋_GB2312" w:cs="Times New Roman"/>
          <w:kern w:val="2"/>
          <w:sz w:val="32"/>
          <w:szCs w:val="32"/>
          <w:lang w:val="zh-CN"/>
        </w:rPr>
        <w:t>项目支出</w:t>
      </w:r>
      <w:r>
        <w:rPr>
          <w:rFonts w:hint="default" w:ascii="Times New Roman" w:hAnsi="Times New Roman" w:eastAsia="仿宋_GB2312" w:cs="Times New Roman"/>
          <w:kern w:val="2"/>
          <w:sz w:val="32"/>
          <w:szCs w:val="32"/>
          <w:lang w:val="zh-CN" w:eastAsia="zh-CN"/>
        </w:rPr>
        <w:t>0万元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占0%；</w:t>
      </w:r>
      <w:r>
        <w:rPr>
          <w:rFonts w:hint="default" w:ascii="Times New Roman" w:hAnsi="Times New Roman" w:eastAsia="仿宋_GB2312" w:cs="Times New Roman"/>
          <w:kern w:val="2"/>
          <w:sz w:val="32"/>
          <w:szCs w:val="32"/>
          <w:lang w:val="zh-CN"/>
        </w:rPr>
        <w:t>上缴上级支出</w:t>
      </w:r>
      <w:r>
        <w:rPr>
          <w:rFonts w:hint="default" w:ascii="Times New Roman" w:hAnsi="Times New Roman" w:eastAsia="仿宋_GB2312" w:cs="Times New Roman"/>
          <w:kern w:val="2"/>
          <w:sz w:val="32"/>
          <w:szCs w:val="32"/>
          <w:lang w:val="zh-CN" w:eastAsia="zh-CN"/>
        </w:rPr>
        <w:t>0万元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占0%；</w:t>
      </w:r>
      <w:r>
        <w:rPr>
          <w:rFonts w:hint="default" w:ascii="Times New Roman" w:hAnsi="Times New Roman" w:eastAsia="仿宋_GB2312" w:cs="Times New Roman"/>
          <w:kern w:val="2"/>
          <w:sz w:val="32"/>
          <w:szCs w:val="32"/>
          <w:lang w:val="zh-CN"/>
        </w:rPr>
        <w:t>经营支出</w:t>
      </w:r>
      <w:r>
        <w:rPr>
          <w:rFonts w:hint="default" w:ascii="Times New Roman" w:hAnsi="Times New Roman" w:eastAsia="仿宋_GB2312" w:cs="Times New Roman"/>
          <w:kern w:val="2"/>
          <w:sz w:val="32"/>
          <w:szCs w:val="32"/>
          <w:lang w:val="zh-CN" w:eastAsia="zh-CN"/>
        </w:rPr>
        <w:t>0万元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占0%；</w:t>
      </w:r>
      <w:r>
        <w:rPr>
          <w:rFonts w:hint="default" w:ascii="Times New Roman" w:hAnsi="Times New Roman" w:eastAsia="仿宋_GB2312" w:cs="Times New Roman"/>
          <w:kern w:val="2"/>
          <w:sz w:val="32"/>
          <w:szCs w:val="32"/>
          <w:lang w:val="zh-CN"/>
        </w:rPr>
        <w:t>对附属单位补助支出</w:t>
      </w:r>
      <w:r>
        <w:rPr>
          <w:rFonts w:hint="default" w:ascii="Times New Roman" w:hAnsi="Times New Roman" w:eastAsia="仿宋_GB2312" w:cs="Times New Roman"/>
          <w:kern w:val="2"/>
          <w:sz w:val="32"/>
          <w:szCs w:val="32"/>
          <w:lang w:val="zh-CN" w:eastAsia="zh-CN"/>
        </w:rPr>
        <w:t>0万元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占0%</w:t>
      </w:r>
      <w:r>
        <w:rPr>
          <w:rFonts w:hint="eastAsia" w:ascii="Times New Roman" w:hAnsi="Times New Roman" w:eastAsia="仿宋_GB2312" w:cs="Times New Roman"/>
          <w:kern w:val="2"/>
          <w:sz w:val="32"/>
          <w:szCs w:val="32"/>
          <w:lang w:val="zh-CN" w:eastAsia="zh-CN"/>
        </w:rPr>
        <w:t>。</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黑体" w:cs="Times New Roman"/>
          <w:kern w:val="2"/>
          <w:sz w:val="32"/>
          <w:szCs w:val="32"/>
          <w:lang w:val="en-US" w:eastAsia="zh-CN" w:bidi="ar-SA"/>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Arial" w:cs="Times New Roman"/>
          <w:highlight w:val="none"/>
        </w:rPr>
      </w:pPr>
      <w:r>
        <w:rPr>
          <w:rFonts w:hint="default" w:ascii="Times New Roman" w:hAnsi="Times New Roman" w:eastAsia="黑体" w:cs="Times New Roman"/>
          <w:kern w:val="2"/>
          <w:sz w:val="32"/>
          <w:szCs w:val="32"/>
          <w:lang w:val="en-US" w:eastAsia="zh-CN" w:bidi="ar-SA"/>
        </w:rPr>
        <w:t>四、财政拨款收入支出决算总体情况说明</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outlineLvl w:val="2"/>
        <w:rPr>
          <w:rFonts w:hint="default" w:ascii="Times New Roman" w:hAnsi="Times New Roman" w:eastAsia="楷体_GB2312" w:cs="Times New Roman"/>
          <w:b/>
          <w:bCs/>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（一）财政拨款收支与2022年度决算对比情况</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40" w:firstLineChars="200"/>
        <w:jc w:val="left"/>
        <w:rPr>
          <w:rFonts w:hint="default" w:ascii="Times New Roman" w:hAnsi="Times New Roman" w:eastAsia="仿宋_GB2312" w:cs="Times New Roman"/>
          <w:sz w:val="30"/>
          <w:szCs w:val="30"/>
          <w:highlight w:val="none"/>
        </w:rPr>
      </w:pP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年度财政拨款本年收入141.2</w:t>
      </w:r>
      <w:r>
        <w:rPr>
          <w:rFonts w:hint="default" w:ascii="Times New Roman" w:hAnsi="Times New Roman" w:eastAsia="仿宋_GB2312" w:cs="Times New Roman"/>
          <w:color w:val="auto"/>
          <w:kern w:val="2"/>
          <w:sz w:val="32"/>
          <w:szCs w:val="32"/>
          <w:lang w:val="en-US" w:eastAsia="zh-CN" w:bidi="ar-SA"/>
        </w:rPr>
        <w:t>万</w:t>
      </w:r>
      <w:r>
        <w:rPr>
          <w:rFonts w:hint="default" w:ascii="Times New Roman" w:hAnsi="Times New Roman" w:eastAsia="仿宋_GB2312" w:cs="Times New Roman"/>
          <w:color w:val="auto"/>
          <w:kern w:val="2"/>
          <w:sz w:val="32"/>
          <w:szCs w:val="32"/>
          <w:lang w:val="zh-CN" w:eastAsia="zh-CN" w:bidi="ar-SA"/>
        </w:rPr>
        <w:t>元,比上年</w:t>
      </w:r>
      <w:r>
        <w:rPr>
          <w:rFonts w:hint="eastAsia" w:ascii="Times New Roman" w:hAnsi="Times New Roman" w:eastAsia="仿宋_GB2312" w:cs="Times New Roman"/>
          <w:color w:val="auto"/>
          <w:kern w:val="2"/>
          <w:sz w:val="32"/>
          <w:szCs w:val="32"/>
          <w:lang w:val="zh-CN" w:eastAsia="zh-CN" w:bidi="ar-SA"/>
        </w:rPr>
        <w:t>减少</w:t>
      </w:r>
      <w:r>
        <w:rPr>
          <w:rFonts w:hint="eastAsia" w:ascii="Times New Roman" w:hAnsi="Times New Roman" w:eastAsia="仿宋_GB2312" w:cs="Times New Roman"/>
          <w:color w:val="auto"/>
          <w:kern w:val="2"/>
          <w:sz w:val="32"/>
          <w:szCs w:val="32"/>
          <w:lang w:val="en-US" w:eastAsia="zh-CN" w:bidi="ar-SA"/>
        </w:rPr>
        <w:t>9.57</w:t>
      </w:r>
      <w:r>
        <w:rPr>
          <w:rFonts w:hint="default" w:ascii="Times New Roman" w:hAnsi="Times New Roman" w:eastAsia="仿宋_GB2312" w:cs="Times New Roman"/>
          <w:color w:val="auto"/>
          <w:kern w:val="2"/>
          <w:sz w:val="32"/>
          <w:szCs w:val="32"/>
          <w:lang w:val="zh-CN" w:eastAsia="zh-CN" w:bidi="ar-SA"/>
        </w:rPr>
        <w:t>万元，降低</w:t>
      </w:r>
      <w:r>
        <w:rPr>
          <w:rFonts w:hint="eastAsia" w:ascii="Times New Roman" w:hAnsi="Times New Roman" w:eastAsia="仿宋_GB2312" w:cs="Times New Roman"/>
          <w:color w:val="auto"/>
          <w:kern w:val="2"/>
          <w:sz w:val="32"/>
          <w:szCs w:val="32"/>
          <w:lang w:val="en-US" w:eastAsia="zh-CN" w:bidi="ar-SA"/>
        </w:rPr>
        <w:t>6.36</w:t>
      </w:r>
      <w:r>
        <w:rPr>
          <w:rFonts w:hint="default" w:ascii="Times New Roman" w:hAnsi="Times New Roman" w:eastAsia="仿宋_GB2312" w:cs="Times New Roman"/>
          <w:color w:val="auto"/>
          <w:kern w:val="2"/>
          <w:sz w:val="32"/>
          <w:szCs w:val="32"/>
          <w:lang w:val="zh-CN" w:eastAsia="zh-CN" w:bidi="ar-SA"/>
        </w:rPr>
        <w:t>%，主要是</w:t>
      </w:r>
      <w:r>
        <w:rPr>
          <w:rFonts w:hint="eastAsia" w:ascii="仿宋" w:hAnsi="仿宋" w:eastAsia="仿宋" w:cs="仿宋"/>
          <w:sz w:val="32"/>
          <w:szCs w:val="32"/>
        </w:rPr>
        <w:t>人员经费</w:t>
      </w:r>
      <w:r>
        <w:rPr>
          <w:rFonts w:hint="eastAsia" w:ascii="仿宋" w:hAnsi="仿宋" w:eastAsia="仿宋" w:cs="仿宋"/>
          <w:sz w:val="32"/>
          <w:szCs w:val="32"/>
          <w:lang w:eastAsia="zh-CN"/>
        </w:rPr>
        <w:t>减少</w:t>
      </w:r>
      <w:r>
        <w:rPr>
          <w:rFonts w:hint="eastAsia" w:ascii="仿宋" w:hAnsi="仿宋" w:eastAsia="仿宋" w:cs="仿宋"/>
          <w:sz w:val="32"/>
          <w:szCs w:val="32"/>
        </w:rPr>
        <w:t>所致</w:t>
      </w:r>
      <w:r>
        <w:rPr>
          <w:rFonts w:hint="default" w:ascii="Times New Roman" w:hAnsi="Times New Roman" w:eastAsia="仿宋_GB2312" w:cs="Times New Roman"/>
          <w:color w:val="auto"/>
          <w:kern w:val="2"/>
          <w:sz w:val="32"/>
          <w:szCs w:val="32"/>
          <w:lang w:val="zh-CN" w:eastAsia="zh-CN" w:bidi="ar-SA"/>
        </w:rPr>
        <w:t>；本年支出 141.2万元，比上年</w:t>
      </w:r>
      <w:r>
        <w:rPr>
          <w:rFonts w:hint="eastAsia" w:ascii="Times New Roman" w:hAnsi="Times New Roman" w:eastAsia="仿宋_GB2312" w:cs="Times New Roman"/>
          <w:color w:val="auto"/>
          <w:kern w:val="2"/>
          <w:sz w:val="32"/>
          <w:szCs w:val="32"/>
          <w:lang w:val="zh-CN" w:eastAsia="zh-CN" w:bidi="ar-SA"/>
        </w:rPr>
        <w:t>减少</w:t>
      </w:r>
      <w:r>
        <w:rPr>
          <w:rFonts w:hint="eastAsia" w:ascii="Times New Roman" w:hAnsi="Times New Roman" w:eastAsia="仿宋_GB2312" w:cs="Times New Roman"/>
          <w:color w:val="auto"/>
          <w:kern w:val="2"/>
          <w:sz w:val="32"/>
          <w:szCs w:val="32"/>
          <w:lang w:val="en-US" w:eastAsia="zh-CN" w:bidi="ar-SA"/>
        </w:rPr>
        <w:t>9.57</w:t>
      </w:r>
      <w:r>
        <w:rPr>
          <w:rFonts w:hint="default" w:ascii="Times New Roman" w:hAnsi="Times New Roman" w:eastAsia="仿宋_GB2312" w:cs="Times New Roman"/>
          <w:color w:val="auto"/>
          <w:kern w:val="2"/>
          <w:sz w:val="32"/>
          <w:szCs w:val="32"/>
          <w:lang w:val="zh-CN" w:eastAsia="zh-CN" w:bidi="ar-SA"/>
        </w:rPr>
        <w:t>万元，</w:t>
      </w:r>
      <w:r>
        <w:rPr>
          <w:rFonts w:hint="eastAsia" w:ascii="Times New Roman" w:hAnsi="Times New Roman" w:eastAsia="仿宋_GB2312" w:cs="Times New Roman"/>
          <w:color w:val="auto"/>
          <w:kern w:val="2"/>
          <w:sz w:val="32"/>
          <w:szCs w:val="32"/>
          <w:lang w:val="zh-CN" w:eastAsia="zh-CN" w:bidi="ar-SA"/>
        </w:rPr>
        <w:t>降低</w:t>
      </w:r>
      <w:r>
        <w:rPr>
          <w:rFonts w:hint="eastAsia" w:ascii="Times New Roman" w:hAnsi="Times New Roman" w:eastAsia="仿宋_GB2312" w:cs="Times New Roman"/>
          <w:color w:val="auto"/>
          <w:kern w:val="2"/>
          <w:sz w:val="32"/>
          <w:szCs w:val="32"/>
          <w:lang w:val="en-US" w:eastAsia="zh-CN" w:bidi="ar-SA"/>
        </w:rPr>
        <w:t>6.36</w:t>
      </w:r>
      <w:r>
        <w:rPr>
          <w:rFonts w:hint="default" w:ascii="Times New Roman" w:hAnsi="Times New Roman" w:eastAsia="仿宋_GB2312" w:cs="Times New Roman"/>
          <w:color w:val="auto"/>
          <w:kern w:val="2"/>
          <w:sz w:val="32"/>
          <w:szCs w:val="32"/>
          <w:lang w:val="zh-CN" w:eastAsia="zh-CN" w:bidi="ar-SA"/>
        </w:rPr>
        <w:t>%，主要是</w:t>
      </w:r>
      <w:r>
        <w:rPr>
          <w:rFonts w:hint="eastAsia" w:ascii="仿宋" w:hAnsi="仿宋" w:eastAsia="仿宋" w:cs="仿宋"/>
          <w:sz w:val="32"/>
          <w:szCs w:val="32"/>
        </w:rPr>
        <w:t>人员经费</w:t>
      </w:r>
      <w:r>
        <w:rPr>
          <w:rFonts w:hint="eastAsia" w:ascii="仿宋" w:hAnsi="仿宋" w:eastAsia="仿宋" w:cs="仿宋"/>
          <w:sz w:val="32"/>
          <w:szCs w:val="32"/>
          <w:lang w:eastAsia="zh-CN"/>
        </w:rPr>
        <w:t>减少</w:t>
      </w:r>
      <w:r>
        <w:rPr>
          <w:rFonts w:hint="eastAsia" w:ascii="仿宋" w:hAnsi="仿宋" w:eastAsia="仿宋" w:cs="仿宋"/>
          <w:sz w:val="32"/>
          <w:szCs w:val="32"/>
        </w:rPr>
        <w:t>所致</w:t>
      </w:r>
      <w:r>
        <w:rPr>
          <w:rFonts w:hint="default" w:ascii="Times New Roman" w:hAnsi="Times New Roman" w:eastAsia="仿宋_GB2312" w:cs="Times New Roman"/>
          <w:color w:val="auto"/>
          <w:kern w:val="2"/>
          <w:sz w:val="32"/>
          <w:szCs w:val="32"/>
          <w:lang w:val="zh-CN" w:eastAsia="zh-CN" w:bidi="ar-SA"/>
        </w:rPr>
        <w:t>。具体情况如下：</w:t>
      </w:r>
    </w:p>
    <w:p>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zh-CN"/>
        </w:rPr>
        <w:t>1. 一般公共预算财政拨款本年收入141.2</w:t>
      </w:r>
      <w:r>
        <w:rPr>
          <w:rFonts w:hint="default" w:ascii="Times New Roman" w:hAnsi="Times New Roman" w:eastAsia="仿宋_GB2312" w:cs="Times New Roman"/>
          <w:kern w:val="2"/>
          <w:sz w:val="32"/>
          <w:szCs w:val="32"/>
          <w:lang w:val="zh-CN" w:eastAsia="zh-CN"/>
        </w:rPr>
        <w:t>万元</w:t>
      </w:r>
      <w:r>
        <w:rPr>
          <w:rFonts w:hint="default" w:ascii="Times New Roman" w:hAnsi="Times New Roman" w:eastAsia="仿宋_GB2312" w:cs="Times New Roman"/>
          <w:kern w:val="2"/>
          <w:sz w:val="32"/>
          <w:szCs w:val="32"/>
          <w:lang w:val="zh-CN"/>
        </w:rPr>
        <w:t>,比上年减少</w:t>
      </w:r>
      <w:r>
        <w:rPr>
          <w:rFonts w:hint="eastAsia" w:ascii="Times New Roman" w:hAnsi="Times New Roman" w:eastAsia="仿宋_GB2312" w:cs="Times New Roman"/>
          <w:kern w:val="2"/>
          <w:sz w:val="32"/>
          <w:szCs w:val="32"/>
          <w:lang w:val="en-US" w:eastAsia="zh-CN"/>
        </w:rPr>
        <w:t>9.57</w:t>
      </w:r>
      <w:r>
        <w:rPr>
          <w:rFonts w:hint="default" w:ascii="Times New Roman" w:hAnsi="Times New Roman" w:eastAsia="仿宋_GB2312" w:cs="Times New Roman"/>
          <w:kern w:val="2"/>
          <w:sz w:val="32"/>
          <w:szCs w:val="32"/>
          <w:lang w:val="zh-CN"/>
        </w:rPr>
        <w:t>万元</w:t>
      </w:r>
      <w:r>
        <w:rPr>
          <w:rFonts w:hint="eastAsia"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rPr>
        <w:t>主要是</w:t>
      </w:r>
      <w:r>
        <w:rPr>
          <w:rFonts w:hint="eastAsia" w:ascii="仿宋" w:hAnsi="仿宋" w:eastAsia="仿宋" w:cs="仿宋"/>
          <w:sz w:val="32"/>
          <w:szCs w:val="32"/>
        </w:rPr>
        <w:t>人员经费</w:t>
      </w:r>
      <w:r>
        <w:rPr>
          <w:rFonts w:hint="eastAsia" w:ascii="仿宋" w:hAnsi="仿宋" w:eastAsia="仿宋" w:cs="仿宋"/>
          <w:sz w:val="32"/>
          <w:szCs w:val="32"/>
          <w:lang w:eastAsia="zh-CN"/>
        </w:rPr>
        <w:t>减少</w:t>
      </w:r>
      <w:r>
        <w:rPr>
          <w:rFonts w:hint="eastAsia" w:ascii="仿宋" w:hAnsi="仿宋" w:eastAsia="仿宋" w:cs="仿宋"/>
          <w:sz w:val="32"/>
          <w:szCs w:val="32"/>
        </w:rPr>
        <w:t>所致</w:t>
      </w:r>
      <w:r>
        <w:rPr>
          <w:rFonts w:hint="default" w:ascii="Times New Roman" w:hAnsi="Times New Roman" w:eastAsia="仿宋_GB2312" w:cs="Times New Roman"/>
          <w:kern w:val="2"/>
          <w:sz w:val="32"/>
          <w:szCs w:val="32"/>
          <w:lang w:val="zh-CN"/>
        </w:rPr>
        <w:t>；本年支出 141.2</w:t>
      </w:r>
      <w:r>
        <w:rPr>
          <w:rFonts w:hint="default" w:ascii="Times New Roman" w:hAnsi="Times New Roman" w:eastAsia="仿宋_GB2312" w:cs="Times New Roman"/>
          <w:kern w:val="2"/>
          <w:sz w:val="32"/>
          <w:szCs w:val="32"/>
          <w:lang w:val="en-US" w:eastAsia="zh-CN"/>
        </w:rPr>
        <w:t>万</w:t>
      </w:r>
      <w:r>
        <w:rPr>
          <w:rFonts w:hint="default" w:ascii="Times New Roman" w:hAnsi="Times New Roman" w:eastAsia="仿宋_GB2312" w:cs="Times New Roman"/>
          <w:kern w:val="2"/>
          <w:sz w:val="32"/>
          <w:szCs w:val="32"/>
          <w:lang w:val="zh-CN"/>
        </w:rPr>
        <w:t>元，比上年减少</w:t>
      </w:r>
      <w:r>
        <w:rPr>
          <w:rFonts w:hint="eastAsia" w:ascii="Times New Roman" w:hAnsi="Times New Roman" w:eastAsia="仿宋_GB2312" w:cs="Times New Roman"/>
          <w:kern w:val="2"/>
          <w:sz w:val="32"/>
          <w:szCs w:val="32"/>
          <w:lang w:val="en-US" w:eastAsia="zh-CN"/>
        </w:rPr>
        <w:t>9.57</w:t>
      </w:r>
      <w:r>
        <w:rPr>
          <w:rFonts w:hint="default" w:ascii="Times New Roman" w:hAnsi="Times New Roman" w:eastAsia="仿宋_GB2312" w:cs="Times New Roman"/>
          <w:kern w:val="2"/>
          <w:sz w:val="32"/>
          <w:szCs w:val="32"/>
          <w:lang w:val="zh-CN"/>
        </w:rPr>
        <w:t>万元，</w:t>
      </w:r>
      <w:r>
        <w:rPr>
          <w:rFonts w:hint="eastAsia" w:ascii="Times New Roman" w:hAnsi="Times New Roman" w:eastAsia="仿宋_GB2312" w:cs="Times New Roman"/>
          <w:kern w:val="2"/>
          <w:sz w:val="32"/>
          <w:szCs w:val="32"/>
          <w:lang w:val="zh-CN"/>
        </w:rPr>
        <w:t>降低</w:t>
      </w:r>
      <w:r>
        <w:rPr>
          <w:rFonts w:hint="eastAsia" w:ascii="Times New Roman" w:hAnsi="Times New Roman" w:eastAsia="仿宋_GB2312" w:cs="Times New Roman"/>
          <w:kern w:val="2"/>
          <w:sz w:val="32"/>
          <w:szCs w:val="32"/>
          <w:lang w:val="en-US" w:eastAsia="zh-CN"/>
        </w:rPr>
        <w:t>6.36</w:t>
      </w:r>
      <w:r>
        <w:rPr>
          <w:rFonts w:hint="default" w:ascii="Times New Roman" w:hAnsi="Times New Roman" w:eastAsia="仿宋_GB2312" w:cs="Times New Roman"/>
          <w:kern w:val="2"/>
          <w:sz w:val="32"/>
          <w:szCs w:val="32"/>
          <w:lang w:val="zh-CN"/>
        </w:rPr>
        <w:t>%，主要是</w:t>
      </w:r>
      <w:r>
        <w:rPr>
          <w:rFonts w:hint="eastAsia" w:ascii="仿宋" w:hAnsi="仿宋" w:eastAsia="仿宋" w:cs="仿宋"/>
          <w:sz w:val="32"/>
          <w:szCs w:val="32"/>
        </w:rPr>
        <w:t>人员经费</w:t>
      </w:r>
      <w:r>
        <w:rPr>
          <w:rFonts w:hint="eastAsia" w:ascii="仿宋" w:hAnsi="仿宋" w:eastAsia="仿宋" w:cs="仿宋"/>
          <w:sz w:val="32"/>
          <w:szCs w:val="32"/>
          <w:lang w:eastAsia="zh-CN"/>
        </w:rPr>
        <w:t>减少</w:t>
      </w:r>
      <w:r>
        <w:rPr>
          <w:rFonts w:hint="eastAsia" w:ascii="仿宋" w:hAnsi="仿宋" w:eastAsia="仿宋" w:cs="仿宋"/>
          <w:sz w:val="32"/>
          <w:szCs w:val="32"/>
        </w:rPr>
        <w:t>所致</w:t>
      </w:r>
      <w:r>
        <w:rPr>
          <w:rFonts w:hint="default" w:ascii="Times New Roman" w:hAnsi="Times New Roman" w:eastAsia="仿宋_GB2312" w:cs="Times New Roman"/>
          <w:kern w:val="2"/>
          <w:sz w:val="32"/>
          <w:szCs w:val="32"/>
          <w:lang w:val="zh-CN"/>
        </w:rPr>
        <w:t>。</w:t>
      </w:r>
    </w:p>
    <w:p>
      <w:pPr>
        <w:autoSpaceDE w:val="0"/>
        <w:autoSpaceDN w:val="0"/>
        <w:adjustRightInd w:val="0"/>
        <w:spacing w:line="580" w:lineRule="exact"/>
        <w:ind w:firstLine="640" w:firstLineChars="200"/>
        <w:jc w:val="left"/>
        <w:rPr>
          <w:rFonts w:hint="default" w:ascii="Times New Roman" w:hAnsi="Times New Roman" w:eastAsia="仿宋_GB2312" w:cs="Times New Roman"/>
          <w:sz w:val="32"/>
          <w:szCs w:val="32"/>
        </w:rPr>
      </w:pPr>
      <w:r>
        <w:rPr>
          <w:rFonts w:hint="default" w:ascii="Times New Roman" w:hAnsi="Times New Roman" w:eastAsia="仿宋_GB2312" w:cs="Times New Roman"/>
          <w:kern w:val="2"/>
          <w:sz w:val="32"/>
          <w:szCs w:val="32"/>
          <w:lang w:val="zh-CN"/>
        </w:rPr>
        <w:t>2.</w:t>
      </w:r>
      <w:r>
        <w:rPr>
          <w:rFonts w:hint="eastAsia" w:ascii="仿宋" w:hAnsi="仿宋" w:eastAsia="仿宋" w:cs="仿宋"/>
          <w:kern w:val="2"/>
          <w:sz w:val="32"/>
          <w:szCs w:val="32"/>
          <w:lang w:val="zh-CN"/>
        </w:rPr>
        <w:t xml:space="preserve"> </w:t>
      </w:r>
      <w:r>
        <w:rPr>
          <w:rFonts w:hint="default" w:ascii="Times New Roman" w:hAnsi="Times New Roman" w:eastAsia="仿宋_GB2312" w:cs="Times New Roman"/>
          <w:kern w:val="2"/>
          <w:sz w:val="32"/>
          <w:szCs w:val="32"/>
          <w:lang w:val="zh-CN"/>
        </w:rPr>
        <w:t>政府性基金预算财政拨款本年收入0</w:t>
      </w:r>
      <w:r>
        <w:rPr>
          <w:rFonts w:hint="default" w:ascii="Times New Roman" w:hAnsi="Times New Roman" w:eastAsia="仿宋_GB2312" w:cs="Times New Roman"/>
          <w:kern w:val="2"/>
          <w:sz w:val="32"/>
          <w:szCs w:val="32"/>
          <w:lang w:val="en-US" w:eastAsia="zh-CN"/>
        </w:rPr>
        <w:t>万</w:t>
      </w:r>
      <w:r>
        <w:rPr>
          <w:rFonts w:hint="default" w:ascii="Times New Roman" w:hAnsi="Times New Roman" w:eastAsia="仿宋_GB2312" w:cs="Times New Roman"/>
          <w:kern w:val="2"/>
          <w:sz w:val="32"/>
          <w:szCs w:val="32"/>
          <w:lang w:val="zh-CN"/>
        </w:rPr>
        <w:t>元，比上年增加</w:t>
      </w:r>
      <w:r>
        <w:rPr>
          <w:rFonts w:hint="eastAsia" w:ascii="Times New Roman" w:hAnsi="Times New Roman" w:eastAsia="仿宋_GB2312" w:cs="Times New Roman"/>
          <w:kern w:val="2"/>
          <w:sz w:val="32"/>
          <w:szCs w:val="32"/>
          <w:lang w:val="en-US" w:eastAsia="zh-CN"/>
        </w:rPr>
        <w:t>0</w:t>
      </w:r>
      <w:r>
        <w:rPr>
          <w:rFonts w:hint="default" w:ascii="Times New Roman" w:hAnsi="Times New Roman" w:eastAsia="仿宋_GB2312" w:cs="Times New Roman"/>
          <w:kern w:val="2"/>
          <w:sz w:val="32"/>
          <w:szCs w:val="32"/>
          <w:lang w:val="zh-CN"/>
        </w:rPr>
        <w:t>万元，增长</w:t>
      </w:r>
      <w:r>
        <w:rPr>
          <w:rFonts w:hint="eastAsia" w:ascii="Times New Roman" w:hAnsi="Times New Roman" w:eastAsia="仿宋_GB2312" w:cs="Times New Roman"/>
          <w:kern w:val="2"/>
          <w:sz w:val="32"/>
          <w:szCs w:val="32"/>
          <w:lang w:val="en-US" w:eastAsia="zh-CN"/>
        </w:rPr>
        <w:t>0</w:t>
      </w:r>
      <w:r>
        <w:rPr>
          <w:rFonts w:hint="default" w:ascii="Times New Roman" w:hAnsi="Times New Roman" w:eastAsia="仿宋_GB2312" w:cs="Times New Roman"/>
          <w:kern w:val="2"/>
          <w:sz w:val="32"/>
          <w:szCs w:val="32"/>
          <w:lang w:val="zh-CN"/>
        </w:rPr>
        <w:t>%，主要是</w:t>
      </w:r>
      <w:r>
        <w:rPr>
          <w:rFonts w:hint="eastAsia" w:ascii="Times New Roman" w:hAnsi="Times New Roman" w:eastAsia="仿宋_GB2312" w:cs="Times New Roman"/>
          <w:kern w:val="2"/>
          <w:sz w:val="32"/>
          <w:szCs w:val="32"/>
          <w:lang w:val="zh-CN"/>
        </w:rPr>
        <w:t>近两年无政府性基金预算</w:t>
      </w:r>
      <w:r>
        <w:rPr>
          <w:rFonts w:hint="default" w:ascii="Times New Roman" w:hAnsi="Times New Roman" w:eastAsia="仿宋_GB2312" w:cs="Times New Roman"/>
          <w:kern w:val="2"/>
          <w:sz w:val="32"/>
          <w:szCs w:val="32"/>
          <w:lang w:val="zh-CN"/>
        </w:rPr>
        <w:t>；本年支出0</w:t>
      </w:r>
      <w:r>
        <w:rPr>
          <w:rFonts w:hint="default" w:ascii="Times New Roman" w:hAnsi="Times New Roman" w:eastAsia="仿宋_GB2312" w:cs="Times New Roman"/>
          <w:kern w:val="2"/>
          <w:sz w:val="32"/>
          <w:szCs w:val="32"/>
          <w:lang w:val="en-US" w:eastAsia="zh-CN"/>
        </w:rPr>
        <w:t>万</w:t>
      </w:r>
      <w:r>
        <w:rPr>
          <w:rFonts w:hint="default" w:ascii="Times New Roman" w:hAnsi="Times New Roman" w:eastAsia="仿宋_GB2312" w:cs="Times New Roman"/>
          <w:kern w:val="2"/>
          <w:sz w:val="32"/>
          <w:szCs w:val="32"/>
          <w:lang w:val="zh-CN"/>
        </w:rPr>
        <w:t>元，比上年增加</w:t>
      </w:r>
      <w:r>
        <w:rPr>
          <w:rFonts w:hint="eastAsia" w:ascii="Times New Roman" w:hAnsi="Times New Roman" w:eastAsia="仿宋_GB2312" w:cs="Times New Roman"/>
          <w:kern w:val="2"/>
          <w:sz w:val="32"/>
          <w:szCs w:val="32"/>
          <w:lang w:val="en-US" w:eastAsia="zh-CN"/>
        </w:rPr>
        <w:t>0</w:t>
      </w:r>
      <w:r>
        <w:rPr>
          <w:rFonts w:hint="default" w:ascii="Times New Roman" w:hAnsi="Times New Roman" w:eastAsia="仿宋_GB2312" w:cs="Times New Roman"/>
          <w:kern w:val="2"/>
          <w:sz w:val="32"/>
          <w:szCs w:val="32"/>
          <w:lang w:val="zh-CN"/>
        </w:rPr>
        <w:t>万元，增长</w:t>
      </w:r>
      <w:r>
        <w:rPr>
          <w:rFonts w:hint="eastAsia" w:ascii="Times New Roman" w:hAnsi="Times New Roman" w:eastAsia="仿宋_GB2312" w:cs="Times New Roman"/>
          <w:kern w:val="2"/>
          <w:sz w:val="32"/>
          <w:szCs w:val="32"/>
          <w:lang w:val="en-US" w:eastAsia="zh-CN"/>
        </w:rPr>
        <w:t>0</w:t>
      </w:r>
      <w:r>
        <w:rPr>
          <w:rFonts w:hint="default" w:ascii="Times New Roman" w:hAnsi="Times New Roman" w:eastAsia="仿宋_GB2312" w:cs="Times New Roman"/>
          <w:kern w:val="2"/>
          <w:sz w:val="32"/>
          <w:szCs w:val="32"/>
          <w:lang w:val="zh-CN"/>
        </w:rPr>
        <w:t>%，主要是</w:t>
      </w:r>
      <w:r>
        <w:rPr>
          <w:rFonts w:hint="eastAsia" w:ascii="Times New Roman" w:hAnsi="Times New Roman" w:eastAsia="仿宋_GB2312" w:cs="Times New Roman"/>
          <w:kern w:val="2"/>
          <w:sz w:val="32"/>
          <w:szCs w:val="32"/>
          <w:lang w:val="zh-CN"/>
        </w:rPr>
        <w:t>近两年无政府性基金预算</w:t>
      </w:r>
      <w:r>
        <w:rPr>
          <w:rFonts w:hint="default" w:ascii="Times New Roman" w:hAnsi="Times New Roman" w:eastAsia="仿宋_GB2312" w:cs="Times New Roman"/>
          <w:kern w:val="2"/>
          <w:sz w:val="32"/>
          <w:szCs w:val="32"/>
          <w:lang w:val="zh-CN"/>
        </w:rPr>
        <w:t>。</w:t>
      </w:r>
    </w:p>
    <w:p>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zh-CN"/>
        </w:rPr>
        <w:t>3. 国有资本经营预算财政拨款本年收入0</w:t>
      </w:r>
      <w:r>
        <w:rPr>
          <w:rFonts w:hint="default" w:ascii="Times New Roman" w:hAnsi="Times New Roman" w:eastAsia="仿宋_GB2312" w:cs="Times New Roman"/>
          <w:kern w:val="2"/>
          <w:sz w:val="32"/>
          <w:szCs w:val="32"/>
          <w:lang w:val="en-US" w:eastAsia="zh-CN"/>
        </w:rPr>
        <w:t>万</w:t>
      </w:r>
      <w:r>
        <w:rPr>
          <w:rFonts w:hint="default" w:ascii="Times New Roman" w:hAnsi="Times New Roman" w:eastAsia="仿宋_GB2312" w:cs="Times New Roman"/>
          <w:kern w:val="2"/>
          <w:sz w:val="32"/>
          <w:szCs w:val="32"/>
          <w:lang w:val="zh-CN"/>
        </w:rPr>
        <w:t>元，比上年增加</w:t>
      </w:r>
      <w:r>
        <w:rPr>
          <w:rFonts w:hint="eastAsia" w:ascii="Times New Roman" w:hAnsi="Times New Roman" w:eastAsia="仿宋_GB2312" w:cs="Times New Roman"/>
          <w:kern w:val="2"/>
          <w:sz w:val="32"/>
          <w:szCs w:val="32"/>
          <w:lang w:val="en-US" w:eastAsia="zh-CN"/>
        </w:rPr>
        <w:t>0</w:t>
      </w:r>
      <w:r>
        <w:rPr>
          <w:rFonts w:hint="default" w:ascii="Times New Roman" w:hAnsi="Times New Roman" w:eastAsia="仿宋_GB2312" w:cs="Times New Roman"/>
          <w:kern w:val="2"/>
          <w:sz w:val="32"/>
          <w:szCs w:val="32"/>
          <w:lang w:val="zh-CN"/>
        </w:rPr>
        <w:t>万元，增长</w:t>
      </w:r>
      <w:r>
        <w:rPr>
          <w:rFonts w:hint="eastAsia" w:ascii="Times New Roman" w:hAnsi="Times New Roman" w:eastAsia="仿宋_GB2312" w:cs="Times New Roman"/>
          <w:kern w:val="2"/>
          <w:sz w:val="32"/>
          <w:szCs w:val="32"/>
          <w:lang w:val="en-US" w:eastAsia="zh-CN"/>
        </w:rPr>
        <w:t>0</w:t>
      </w:r>
      <w:r>
        <w:rPr>
          <w:rFonts w:hint="default" w:ascii="Times New Roman" w:hAnsi="Times New Roman" w:eastAsia="仿宋_GB2312" w:cs="Times New Roman"/>
          <w:kern w:val="2"/>
          <w:sz w:val="32"/>
          <w:szCs w:val="32"/>
          <w:lang w:val="zh-CN"/>
        </w:rPr>
        <w:t>%，主要是</w:t>
      </w:r>
      <w:r>
        <w:rPr>
          <w:rFonts w:hint="eastAsia" w:ascii="Times New Roman" w:hAnsi="Times New Roman" w:eastAsia="仿宋_GB2312" w:cs="Times New Roman"/>
          <w:kern w:val="2"/>
          <w:sz w:val="32"/>
          <w:szCs w:val="32"/>
          <w:lang w:val="zh-CN"/>
        </w:rPr>
        <w:t>近两年无国有资本经营预算</w:t>
      </w:r>
      <w:r>
        <w:rPr>
          <w:rFonts w:hint="default" w:ascii="Times New Roman" w:hAnsi="Times New Roman" w:eastAsia="仿宋_GB2312" w:cs="Times New Roman"/>
          <w:kern w:val="2"/>
          <w:sz w:val="32"/>
          <w:szCs w:val="32"/>
          <w:lang w:val="zh-CN"/>
        </w:rPr>
        <w:t>；本年支出0</w:t>
      </w:r>
      <w:r>
        <w:rPr>
          <w:rFonts w:hint="default" w:ascii="Times New Roman" w:hAnsi="Times New Roman" w:eastAsia="仿宋_GB2312" w:cs="Times New Roman"/>
          <w:kern w:val="2"/>
          <w:sz w:val="32"/>
          <w:szCs w:val="32"/>
          <w:lang w:val="en-US" w:eastAsia="zh-CN"/>
        </w:rPr>
        <w:t>万</w:t>
      </w:r>
      <w:r>
        <w:rPr>
          <w:rFonts w:hint="default" w:ascii="Times New Roman" w:hAnsi="Times New Roman" w:eastAsia="仿宋_GB2312" w:cs="Times New Roman"/>
          <w:kern w:val="2"/>
          <w:sz w:val="32"/>
          <w:szCs w:val="32"/>
          <w:lang w:val="zh-CN"/>
        </w:rPr>
        <w:t>元，比上年增加</w:t>
      </w:r>
      <w:r>
        <w:rPr>
          <w:rFonts w:hint="eastAsia" w:ascii="Times New Roman" w:hAnsi="Times New Roman" w:eastAsia="仿宋_GB2312" w:cs="Times New Roman"/>
          <w:kern w:val="2"/>
          <w:sz w:val="32"/>
          <w:szCs w:val="32"/>
          <w:lang w:val="en-US" w:eastAsia="zh-CN"/>
        </w:rPr>
        <w:t>0</w:t>
      </w:r>
      <w:r>
        <w:rPr>
          <w:rFonts w:hint="default" w:ascii="Times New Roman" w:hAnsi="Times New Roman" w:eastAsia="仿宋_GB2312" w:cs="Times New Roman"/>
          <w:kern w:val="2"/>
          <w:sz w:val="32"/>
          <w:szCs w:val="32"/>
          <w:lang w:val="zh-CN"/>
        </w:rPr>
        <w:t>万元，增长</w:t>
      </w:r>
      <w:r>
        <w:rPr>
          <w:rFonts w:hint="eastAsia" w:ascii="Times New Roman" w:hAnsi="Times New Roman" w:eastAsia="仿宋_GB2312" w:cs="Times New Roman"/>
          <w:kern w:val="2"/>
          <w:sz w:val="32"/>
          <w:szCs w:val="32"/>
          <w:lang w:val="en-US" w:eastAsia="zh-CN"/>
        </w:rPr>
        <w:t>0</w:t>
      </w:r>
      <w:r>
        <w:rPr>
          <w:rFonts w:hint="default" w:ascii="Times New Roman" w:hAnsi="Times New Roman" w:eastAsia="仿宋_GB2312" w:cs="Times New Roman"/>
          <w:kern w:val="2"/>
          <w:sz w:val="32"/>
          <w:szCs w:val="32"/>
          <w:lang w:val="zh-CN"/>
        </w:rPr>
        <w:t>%，主要是</w:t>
      </w:r>
      <w:r>
        <w:rPr>
          <w:rFonts w:hint="eastAsia" w:ascii="Times New Roman" w:hAnsi="Times New Roman" w:eastAsia="仿宋_GB2312" w:cs="Times New Roman"/>
          <w:kern w:val="2"/>
          <w:sz w:val="32"/>
          <w:szCs w:val="32"/>
          <w:lang w:val="zh-CN"/>
        </w:rPr>
        <w:t>近两年无国有资本经营预算</w:t>
      </w:r>
      <w:r>
        <w:rPr>
          <w:rFonts w:hint="default" w:ascii="Times New Roman" w:hAnsi="Times New Roman" w:eastAsia="仿宋_GB2312" w:cs="Times New Roman"/>
          <w:kern w:val="2"/>
          <w:sz w:val="32"/>
          <w:szCs w:val="32"/>
          <w:lang w:val="zh-CN"/>
        </w:rPr>
        <w:t>。</w:t>
      </w:r>
    </w:p>
    <w:p>
      <w:pPr>
        <w:snapToGrid w:val="0"/>
        <w:spacing w:line="580" w:lineRule="exact"/>
        <w:rPr>
          <w:rFonts w:hint="default" w:ascii="Times New Roman" w:hAnsi="Times New Roman" w:eastAsia="楷体_GB2312" w:cs="Times New Roman"/>
          <w:b/>
          <w:bCs/>
          <w:kern w:val="2"/>
          <w:sz w:val="32"/>
          <w:szCs w:val="32"/>
        </w:rPr>
      </w:pPr>
      <w:r>
        <w:rPr>
          <w:rFonts w:hint="default" w:ascii="Times New Roman" w:hAnsi="Times New Roman" w:eastAsia="楷体_GB2312" w:cs="Times New Roman"/>
          <w:b/>
          <w:bCs/>
          <w:kern w:val="2"/>
          <w:sz w:val="32"/>
          <w:szCs w:val="32"/>
        </w:rPr>
        <w:t>（二）财政拨款收支与年初预算数对比情况</w:t>
      </w:r>
    </w:p>
    <w:p>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年度财政拨款本年收入141.2万元，完成年初预算的84.55%，比年初预算减少</w:t>
      </w:r>
      <w:r>
        <w:rPr>
          <w:rFonts w:hint="eastAsia" w:ascii="Times New Roman" w:hAnsi="Times New Roman" w:eastAsia="仿宋_GB2312" w:cs="Times New Roman"/>
          <w:color w:val="auto"/>
          <w:kern w:val="2"/>
          <w:sz w:val="32"/>
          <w:szCs w:val="32"/>
          <w:lang w:val="en-US" w:eastAsia="zh-CN" w:bidi="ar-SA"/>
        </w:rPr>
        <w:t>25.79</w:t>
      </w:r>
      <w:r>
        <w:rPr>
          <w:rFonts w:hint="default" w:ascii="Times New Roman" w:hAnsi="Times New Roman" w:eastAsia="仿宋_GB2312" w:cs="Times New Roman"/>
          <w:color w:val="auto"/>
          <w:kern w:val="2"/>
          <w:sz w:val="32"/>
          <w:szCs w:val="32"/>
          <w:lang w:val="zh-CN" w:eastAsia="zh-CN" w:bidi="ar-SA"/>
        </w:rPr>
        <w:t>万元，决算数小于预算数主要原因是</w:t>
      </w:r>
      <w:r>
        <w:rPr>
          <w:rFonts w:hint="eastAsia" w:ascii="仿宋" w:hAnsi="仿宋" w:eastAsia="仿宋" w:cs="仿宋"/>
          <w:sz w:val="32"/>
          <w:szCs w:val="32"/>
        </w:rPr>
        <w:t>预算调减</w:t>
      </w:r>
      <w:r>
        <w:rPr>
          <w:rFonts w:hint="default" w:ascii="Times New Roman" w:hAnsi="Times New Roman" w:eastAsia="仿宋_GB2312" w:cs="Times New Roman"/>
          <w:color w:val="auto"/>
          <w:kern w:val="2"/>
          <w:sz w:val="32"/>
          <w:szCs w:val="32"/>
          <w:lang w:val="zh-CN" w:eastAsia="zh-CN" w:bidi="ar-SA"/>
        </w:rPr>
        <w:t>；本年支出141.2万元，完成年初预算的84.55%，比年初预算减少</w:t>
      </w:r>
      <w:r>
        <w:rPr>
          <w:rFonts w:hint="eastAsia" w:ascii="Times New Roman" w:hAnsi="Times New Roman" w:eastAsia="仿宋_GB2312" w:cs="Times New Roman"/>
          <w:color w:val="auto"/>
          <w:kern w:val="2"/>
          <w:sz w:val="32"/>
          <w:szCs w:val="32"/>
          <w:lang w:val="en-US" w:eastAsia="zh-CN" w:bidi="ar-SA"/>
        </w:rPr>
        <w:t>25.79</w:t>
      </w:r>
      <w:r>
        <w:rPr>
          <w:rFonts w:hint="default" w:ascii="Times New Roman" w:hAnsi="Times New Roman" w:eastAsia="仿宋_GB2312" w:cs="Times New Roman"/>
          <w:color w:val="auto"/>
          <w:kern w:val="2"/>
          <w:sz w:val="32"/>
          <w:szCs w:val="32"/>
          <w:lang w:val="zh-CN" w:eastAsia="zh-CN" w:bidi="ar-SA"/>
        </w:rPr>
        <w:t>万元，决算数小于</w:t>
      </w:r>
      <w:r>
        <w:rPr>
          <w:rFonts w:hint="default" w:ascii="Times New Roman" w:hAnsi="Times New Roman" w:eastAsia="仿宋_GB2312" w:cs="Times New Roman"/>
          <w:kern w:val="2"/>
          <w:sz w:val="32"/>
          <w:szCs w:val="32"/>
          <w:lang w:val="zh-CN"/>
        </w:rPr>
        <w:t>预算数主要原因是</w:t>
      </w:r>
      <w:r>
        <w:rPr>
          <w:rFonts w:hint="eastAsia" w:ascii="仿宋" w:hAnsi="仿宋" w:eastAsia="仿宋" w:cs="仿宋"/>
          <w:sz w:val="32"/>
          <w:szCs w:val="32"/>
        </w:rPr>
        <w:t>预算调减</w:t>
      </w:r>
      <w:r>
        <w:rPr>
          <w:rFonts w:hint="default" w:ascii="Times New Roman" w:hAnsi="Times New Roman" w:eastAsia="仿宋_GB2312" w:cs="Times New Roman"/>
          <w:kern w:val="2"/>
          <w:sz w:val="32"/>
          <w:szCs w:val="32"/>
          <w:lang w:val="zh-CN"/>
        </w:rPr>
        <w:t>。具体情况如下：</w:t>
      </w:r>
    </w:p>
    <w:p>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en-US" w:eastAsia="zh-CN"/>
        </w:rPr>
        <w:t>1.</w:t>
      </w:r>
      <w:r>
        <w:rPr>
          <w:rFonts w:hint="default" w:ascii="Times New Roman" w:hAnsi="Times New Roman" w:eastAsia="仿宋_GB2312" w:cs="Times New Roman"/>
          <w:kern w:val="2"/>
          <w:sz w:val="32"/>
          <w:szCs w:val="32"/>
          <w:lang w:val="zh-CN"/>
        </w:rPr>
        <w:t>一般公共预算财政拨款</w:t>
      </w:r>
      <w:r>
        <w:rPr>
          <w:rFonts w:hint="default" w:ascii="Times New Roman" w:hAnsi="Times New Roman" w:eastAsia="仿宋_GB2312" w:cs="Times New Roman"/>
          <w:kern w:val="2"/>
          <w:sz w:val="32"/>
          <w:szCs w:val="32"/>
          <w:lang w:val="en-US" w:eastAsia="zh-CN"/>
        </w:rPr>
        <w:t>本年</w:t>
      </w:r>
      <w:r>
        <w:rPr>
          <w:rFonts w:hint="default" w:ascii="Times New Roman" w:hAnsi="Times New Roman" w:eastAsia="仿宋_GB2312" w:cs="Times New Roman"/>
          <w:kern w:val="2"/>
          <w:sz w:val="32"/>
          <w:szCs w:val="32"/>
          <w:lang w:val="zh-CN"/>
        </w:rPr>
        <w:t>收入141.2万元，完成年初预算的 84.55%，比年初预算</w:t>
      </w:r>
      <w:r>
        <w:rPr>
          <w:rFonts w:hint="default" w:ascii="Times New Roman" w:hAnsi="Times New Roman" w:eastAsia="仿宋_GB2312" w:cs="Times New Roman"/>
          <w:color w:val="auto"/>
          <w:kern w:val="2"/>
          <w:sz w:val="32"/>
          <w:szCs w:val="32"/>
          <w:lang w:val="zh-CN" w:eastAsia="zh-CN" w:bidi="ar-SA"/>
        </w:rPr>
        <w:t>减少</w:t>
      </w:r>
      <w:r>
        <w:rPr>
          <w:rFonts w:hint="eastAsia" w:ascii="Times New Roman" w:hAnsi="Times New Roman" w:eastAsia="仿宋_GB2312" w:cs="Times New Roman"/>
          <w:color w:val="auto"/>
          <w:kern w:val="2"/>
          <w:sz w:val="32"/>
          <w:szCs w:val="32"/>
          <w:lang w:val="en-US" w:eastAsia="zh-CN" w:bidi="ar-SA"/>
        </w:rPr>
        <w:t>25.79</w:t>
      </w:r>
      <w:r>
        <w:rPr>
          <w:rFonts w:hint="default" w:ascii="Times New Roman" w:hAnsi="Times New Roman" w:eastAsia="仿宋_GB2312" w:cs="Times New Roman"/>
          <w:kern w:val="2"/>
          <w:sz w:val="32"/>
          <w:szCs w:val="32"/>
          <w:lang w:val="zh-CN"/>
        </w:rPr>
        <w:t>万元，主要原因是</w:t>
      </w:r>
      <w:r>
        <w:rPr>
          <w:rFonts w:hint="eastAsia" w:ascii="仿宋" w:hAnsi="仿宋" w:eastAsia="仿宋" w:cs="仿宋"/>
          <w:sz w:val="32"/>
          <w:szCs w:val="32"/>
        </w:rPr>
        <w:t>预算调减</w:t>
      </w:r>
      <w:r>
        <w:rPr>
          <w:rFonts w:hint="default" w:ascii="Times New Roman" w:hAnsi="Times New Roman" w:eastAsia="仿宋_GB2312" w:cs="Times New Roman"/>
          <w:kern w:val="2"/>
          <w:sz w:val="32"/>
          <w:szCs w:val="32"/>
          <w:lang w:val="zh-CN"/>
        </w:rPr>
        <w:t>；本年支出141.2万元，完成年初预算的84.55%，比年初预算</w:t>
      </w:r>
      <w:r>
        <w:rPr>
          <w:rFonts w:hint="eastAsia" w:ascii="Times New Roman" w:hAnsi="Times New Roman" w:eastAsia="仿宋_GB2312" w:cs="Times New Roman"/>
          <w:kern w:val="2"/>
          <w:sz w:val="32"/>
          <w:szCs w:val="32"/>
          <w:lang w:val="zh-CN"/>
        </w:rPr>
        <w:t>减少</w:t>
      </w:r>
      <w:r>
        <w:rPr>
          <w:rFonts w:hint="eastAsia" w:ascii="Times New Roman" w:hAnsi="Times New Roman" w:eastAsia="仿宋_GB2312" w:cs="Times New Roman"/>
          <w:kern w:val="2"/>
          <w:sz w:val="32"/>
          <w:szCs w:val="32"/>
          <w:lang w:val="en-US" w:eastAsia="zh-CN"/>
        </w:rPr>
        <w:t>25.79</w:t>
      </w:r>
      <w:r>
        <w:rPr>
          <w:rFonts w:hint="default" w:ascii="Times New Roman" w:hAnsi="Times New Roman" w:eastAsia="仿宋_GB2312" w:cs="Times New Roman"/>
          <w:kern w:val="2"/>
          <w:sz w:val="32"/>
          <w:szCs w:val="32"/>
          <w:lang w:val="zh-CN"/>
        </w:rPr>
        <w:t>万元，主要原因是</w:t>
      </w:r>
      <w:r>
        <w:rPr>
          <w:rFonts w:hint="eastAsia" w:ascii="仿宋" w:hAnsi="仿宋" w:eastAsia="仿宋" w:cs="仿宋"/>
          <w:sz w:val="32"/>
          <w:szCs w:val="32"/>
        </w:rPr>
        <w:t>预算调减</w:t>
      </w:r>
      <w:r>
        <w:rPr>
          <w:rFonts w:hint="default" w:ascii="Times New Roman" w:hAnsi="Times New Roman" w:eastAsia="仿宋_GB2312" w:cs="Times New Roman"/>
          <w:kern w:val="2"/>
          <w:sz w:val="32"/>
          <w:szCs w:val="32"/>
          <w:lang w:val="zh-CN"/>
        </w:rPr>
        <w:t>。</w:t>
      </w:r>
    </w:p>
    <w:p>
      <w:pPr>
        <w:autoSpaceDE w:val="0"/>
        <w:autoSpaceDN w:val="0"/>
        <w:adjustRightInd w:val="0"/>
        <w:spacing w:line="580" w:lineRule="exact"/>
        <w:ind w:firstLine="640" w:firstLineChars="200"/>
        <w:jc w:val="left"/>
        <w:rPr>
          <w:rFonts w:hint="default" w:ascii="Times New Roman" w:hAnsi="Times New Roman" w:eastAsia="仿宋_GB2312" w:cs="Times New Roman"/>
          <w:sz w:val="32"/>
          <w:szCs w:val="32"/>
        </w:rPr>
      </w:pPr>
      <w:r>
        <w:rPr>
          <w:rFonts w:hint="default" w:ascii="Times New Roman" w:hAnsi="Times New Roman" w:eastAsia="仿宋_GB2312" w:cs="Times New Roman"/>
          <w:kern w:val="2"/>
          <w:sz w:val="32"/>
          <w:szCs w:val="32"/>
          <w:lang w:val="zh-CN"/>
        </w:rPr>
        <w:t>2. 政府性基金预算财政拨款本年收入0万元，完成年初预算的</w:t>
      </w:r>
      <w:r>
        <w:rPr>
          <w:rFonts w:hint="eastAsia" w:ascii="Times New Roman" w:hAnsi="Times New Roman" w:eastAsia="仿宋_GB2312" w:cs="Times New Roman"/>
          <w:kern w:val="2"/>
          <w:sz w:val="32"/>
          <w:szCs w:val="32"/>
          <w:lang w:val="en-US" w:eastAsia="zh-CN"/>
        </w:rPr>
        <w:t>100</w:t>
      </w:r>
      <w:r>
        <w:rPr>
          <w:rFonts w:hint="default" w:ascii="Times New Roman" w:hAnsi="Times New Roman" w:eastAsia="仿宋_GB2312" w:cs="Times New Roman"/>
          <w:kern w:val="2"/>
          <w:sz w:val="32"/>
          <w:szCs w:val="32"/>
          <w:lang w:val="zh-CN"/>
        </w:rPr>
        <w:t>%，比年初预算增加</w:t>
      </w:r>
      <w:r>
        <w:rPr>
          <w:rFonts w:hint="eastAsia" w:ascii="Times New Roman" w:hAnsi="Times New Roman" w:eastAsia="仿宋_GB2312" w:cs="Times New Roman"/>
          <w:kern w:val="2"/>
          <w:sz w:val="32"/>
          <w:szCs w:val="32"/>
          <w:lang w:val="en-US" w:eastAsia="zh-CN"/>
        </w:rPr>
        <w:t>0</w:t>
      </w:r>
      <w:r>
        <w:rPr>
          <w:rFonts w:hint="default" w:ascii="Times New Roman" w:hAnsi="Times New Roman" w:eastAsia="仿宋_GB2312" w:cs="Times New Roman"/>
          <w:kern w:val="2"/>
          <w:sz w:val="32"/>
          <w:szCs w:val="32"/>
          <w:lang w:val="zh-CN"/>
        </w:rPr>
        <w:t>万元，主要原因是</w:t>
      </w:r>
      <w:r>
        <w:rPr>
          <w:rFonts w:hint="eastAsia" w:ascii="Times New Roman" w:hAnsi="Times New Roman" w:eastAsia="仿宋_GB2312" w:cs="Times New Roman"/>
          <w:kern w:val="2"/>
          <w:sz w:val="32"/>
          <w:szCs w:val="32"/>
          <w:lang w:val="zh-CN"/>
        </w:rPr>
        <w:t>无政府性基金预算</w:t>
      </w:r>
      <w:r>
        <w:rPr>
          <w:rFonts w:hint="default" w:ascii="Times New Roman" w:hAnsi="Times New Roman" w:eastAsia="仿宋_GB2312" w:cs="Times New Roman"/>
          <w:kern w:val="2"/>
          <w:sz w:val="32"/>
          <w:szCs w:val="32"/>
          <w:lang w:val="zh-CN"/>
        </w:rPr>
        <w:t>；本年支出0万元，完成年初预算的</w:t>
      </w:r>
      <w:r>
        <w:rPr>
          <w:rFonts w:hint="eastAsia" w:ascii="Times New Roman" w:hAnsi="Times New Roman" w:eastAsia="仿宋_GB2312" w:cs="Times New Roman"/>
          <w:kern w:val="2"/>
          <w:sz w:val="32"/>
          <w:szCs w:val="32"/>
          <w:lang w:val="en-US" w:eastAsia="zh-CN"/>
        </w:rPr>
        <w:t>10</w:t>
      </w:r>
      <w:r>
        <w:rPr>
          <w:rFonts w:hint="default" w:ascii="Times New Roman" w:hAnsi="Times New Roman" w:eastAsia="仿宋_GB2312" w:cs="Times New Roman"/>
          <w:kern w:val="2"/>
          <w:sz w:val="32"/>
          <w:szCs w:val="32"/>
          <w:lang w:val="zh-CN"/>
        </w:rPr>
        <w:t>0%，比年初预算增加</w:t>
      </w:r>
      <w:r>
        <w:rPr>
          <w:rFonts w:hint="eastAsia" w:ascii="Times New Roman" w:hAnsi="Times New Roman" w:eastAsia="仿宋_GB2312" w:cs="Times New Roman"/>
          <w:kern w:val="2"/>
          <w:sz w:val="32"/>
          <w:szCs w:val="32"/>
          <w:lang w:val="en-US" w:eastAsia="zh-CN"/>
        </w:rPr>
        <w:t>0</w:t>
      </w:r>
      <w:r>
        <w:rPr>
          <w:rFonts w:hint="default" w:ascii="Times New Roman" w:hAnsi="Times New Roman" w:eastAsia="仿宋_GB2312" w:cs="Times New Roman"/>
          <w:kern w:val="2"/>
          <w:sz w:val="32"/>
          <w:szCs w:val="32"/>
          <w:lang w:val="zh-CN"/>
        </w:rPr>
        <w:t>万元，主要原因是</w:t>
      </w:r>
      <w:r>
        <w:rPr>
          <w:rFonts w:hint="eastAsia" w:ascii="Times New Roman" w:hAnsi="Times New Roman" w:eastAsia="仿宋_GB2312" w:cs="Times New Roman"/>
          <w:kern w:val="2"/>
          <w:sz w:val="32"/>
          <w:szCs w:val="32"/>
          <w:lang w:val="zh-CN"/>
        </w:rPr>
        <w:t>两年无政府性基金预算</w:t>
      </w:r>
      <w:r>
        <w:rPr>
          <w:rFonts w:hint="default" w:ascii="Times New Roman" w:hAnsi="Times New Roman" w:eastAsia="仿宋_GB2312" w:cs="Times New Roman"/>
          <w:kern w:val="2"/>
          <w:sz w:val="32"/>
          <w:szCs w:val="32"/>
          <w:lang w:val="zh-CN"/>
        </w:rPr>
        <w:t>。</w:t>
      </w:r>
    </w:p>
    <w:p>
      <w:pPr>
        <w:autoSpaceDE w:val="0"/>
        <w:autoSpaceDN w:val="0"/>
        <w:adjustRightInd w:val="0"/>
        <w:spacing w:line="580" w:lineRule="exact"/>
        <w:ind w:firstLine="640" w:firstLineChars="200"/>
        <w:jc w:val="left"/>
        <w:rPr>
          <w:rFonts w:hint="eastAsia" w:ascii="仿宋" w:hAnsi="仿宋" w:eastAsia="仿宋" w:cs="仿宋"/>
          <w:sz w:val="32"/>
          <w:szCs w:val="32"/>
        </w:rPr>
      </w:pPr>
      <w:r>
        <w:rPr>
          <w:rFonts w:hint="default" w:ascii="Times New Roman" w:hAnsi="Times New Roman" w:eastAsia="仿宋_GB2312" w:cs="Times New Roman"/>
          <w:kern w:val="2"/>
          <w:sz w:val="32"/>
          <w:szCs w:val="32"/>
          <w:lang w:val="zh-CN"/>
        </w:rPr>
        <w:t>3. 国有资本经营预算财政拨款本年收入0万元，完成年初预算的</w:t>
      </w:r>
      <w:r>
        <w:rPr>
          <w:rFonts w:hint="eastAsia" w:ascii="Times New Roman" w:hAnsi="Times New Roman" w:eastAsia="仿宋_GB2312" w:cs="Times New Roman"/>
          <w:kern w:val="2"/>
          <w:sz w:val="32"/>
          <w:szCs w:val="32"/>
          <w:lang w:val="en-US" w:eastAsia="zh-CN"/>
        </w:rPr>
        <w:t>10</w:t>
      </w:r>
      <w:r>
        <w:rPr>
          <w:rFonts w:hint="default" w:ascii="Times New Roman" w:hAnsi="Times New Roman" w:eastAsia="仿宋_GB2312" w:cs="Times New Roman"/>
          <w:kern w:val="2"/>
          <w:sz w:val="32"/>
          <w:szCs w:val="32"/>
          <w:lang w:val="zh-CN"/>
        </w:rPr>
        <w:t>0%，比年初预算增加</w:t>
      </w:r>
      <w:r>
        <w:rPr>
          <w:rFonts w:hint="eastAsia" w:ascii="Times New Roman" w:hAnsi="Times New Roman" w:eastAsia="仿宋_GB2312" w:cs="Times New Roman"/>
          <w:kern w:val="2"/>
          <w:sz w:val="32"/>
          <w:szCs w:val="32"/>
          <w:lang w:val="en-US" w:eastAsia="zh-CN"/>
        </w:rPr>
        <w:t>0</w:t>
      </w:r>
      <w:r>
        <w:rPr>
          <w:rFonts w:hint="default" w:ascii="Times New Roman" w:hAnsi="Times New Roman" w:eastAsia="仿宋_GB2312" w:cs="Times New Roman"/>
          <w:kern w:val="2"/>
          <w:sz w:val="32"/>
          <w:szCs w:val="32"/>
          <w:lang w:val="zh-CN"/>
        </w:rPr>
        <w:t>万元，主要原因是</w:t>
      </w:r>
      <w:r>
        <w:rPr>
          <w:rFonts w:hint="eastAsia" w:ascii="仿宋" w:hAnsi="仿宋" w:eastAsia="仿宋" w:cs="仿宋"/>
          <w:sz w:val="32"/>
          <w:szCs w:val="32"/>
        </w:rPr>
        <w:t>无国有资本经营预算</w:t>
      </w:r>
      <w:r>
        <w:rPr>
          <w:rFonts w:hint="default" w:ascii="Times New Roman" w:hAnsi="Times New Roman" w:eastAsia="仿宋_GB2312" w:cs="Times New Roman"/>
          <w:kern w:val="2"/>
          <w:sz w:val="32"/>
          <w:szCs w:val="32"/>
          <w:lang w:val="zh-CN"/>
        </w:rPr>
        <w:t>；本年支出0万元，完成年初预算的</w:t>
      </w:r>
      <w:r>
        <w:rPr>
          <w:rFonts w:hint="eastAsia" w:ascii="Times New Roman" w:hAnsi="Times New Roman" w:eastAsia="仿宋_GB2312" w:cs="Times New Roman"/>
          <w:kern w:val="2"/>
          <w:sz w:val="32"/>
          <w:szCs w:val="32"/>
          <w:lang w:val="en-US" w:eastAsia="zh-CN"/>
        </w:rPr>
        <w:t>10</w:t>
      </w:r>
      <w:r>
        <w:rPr>
          <w:rFonts w:hint="default" w:ascii="Times New Roman" w:hAnsi="Times New Roman" w:eastAsia="仿宋_GB2312" w:cs="Times New Roman"/>
          <w:kern w:val="2"/>
          <w:sz w:val="32"/>
          <w:szCs w:val="32"/>
          <w:lang w:val="zh-CN"/>
        </w:rPr>
        <w:t>0%，比年初预算增加</w:t>
      </w:r>
      <w:r>
        <w:rPr>
          <w:rFonts w:hint="eastAsia" w:ascii="Times New Roman" w:hAnsi="Times New Roman" w:eastAsia="仿宋_GB2312" w:cs="Times New Roman"/>
          <w:kern w:val="2"/>
          <w:sz w:val="32"/>
          <w:szCs w:val="32"/>
          <w:lang w:val="en-US" w:eastAsia="zh-CN"/>
        </w:rPr>
        <w:t>0</w:t>
      </w:r>
      <w:r>
        <w:rPr>
          <w:rFonts w:hint="default" w:ascii="Times New Roman" w:hAnsi="Times New Roman" w:eastAsia="仿宋_GB2312" w:cs="Times New Roman"/>
          <w:kern w:val="2"/>
          <w:sz w:val="32"/>
          <w:szCs w:val="32"/>
          <w:lang w:val="zh-CN"/>
        </w:rPr>
        <w:t>万元，主要原因是</w:t>
      </w:r>
      <w:r>
        <w:rPr>
          <w:rFonts w:hint="eastAsia" w:ascii="仿宋" w:hAnsi="仿宋" w:eastAsia="仿宋" w:cs="仿宋"/>
          <w:sz w:val="32"/>
          <w:szCs w:val="32"/>
        </w:rPr>
        <w:t>无国有资本经营预算。</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2"/>
        <w:rPr>
          <w:rFonts w:hint="default" w:ascii="Times New Roman" w:hAnsi="Times New Roman" w:eastAsia="楷体_GB2312" w:cs="Times New Roman"/>
          <w:b/>
          <w:bCs/>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（三）财政拨款支出决算结构情况</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jc w:val="left"/>
        <w:textAlignment w:val="auto"/>
        <w:rPr>
          <w:rFonts w:hint="eastAsia" w:ascii="仿宋" w:hAnsi="仿宋" w:eastAsia="仿宋" w:cs="仿宋"/>
          <w:color w:val="auto"/>
          <w:kern w:val="2"/>
          <w:sz w:val="32"/>
          <w:szCs w:val="32"/>
          <w:lang w:val="zh-CN" w:eastAsia="zh-CN" w:bidi="ar-SA"/>
        </w:rPr>
      </w:pPr>
      <w:r>
        <w:rPr>
          <w:rFonts w:hint="default" w:ascii="Times New Roman" w:hAnsi="Times New Roman" w:eastAsia="仿宋_GB2312" w:cs="Times New Roman"/>
          <w:i w:val="0"/>
          <w:iCs w:val="0"/>
          <w:caps w:val="0"/>
          <w:color w:val="000000"/>
          <w:spacing w:val="0"/>
          <w:sz w:val="33"/>
          <w:szCs w:val="33"/>
          <w:highlight w:val="none"/>
          <w:shd w:val="clear" w:fill="FFFFFF"/>
        </w:rPr>
        <w:t> </w:t>
      </w:r>
      <w:r>
        <w:rPr>
          <w:rFonts w:hint="eastAsia" w:ascii="Times New Roman" w:hAnsi="Times New Roman" w:eastAsia="仿宋_GB2312" w:cs="Times New Roman"/>
          <w:i w:val="0"/>
          <w:iCs w:val="0"/>
          <w:caps w:val="0"/>
          <w:color w:val="000000"/>
          <w:spacing w:val="0"/>
          <w:sz w:val="33"/>
          <w:szCs w:val="33"/>
          <w:highlight w:val="none"/>
          <w:shd w:val="clear" w:fill="FFFFFF"/>
          <w:lang w:val="en-US" w:eastAsia="zh-CN"/>
        </w:rPr>
        <w:t xml:space="preserve">   </w:t>
      </w:r>
      <w:r>
        <w:rPr>
          <w:rFonts w:hint="eastAsia" w:ascii="仿宋" w:hAnsi="仿宋" w:eastAsia="仿宋" w:cs="仿宋"/>
          <w:kern w:val="2"/>
          <w:sz w:val="32"/>
          <w:szCs w:val="32"/>
          <w:lang w:val="zh-CN"/>
        </w:rPr>
        <w:t> 202</w:t>
      </w:r>
      <w:r>
        <w:rPr>
          <w:rFonts w:hint="eastAsia" w:ascii="仿宋" w:hAnsi="仿宋" w:eastAsia="仿宋" w:cs="仿宋"/>
          <w:kern w:val="2"/>
          <w:sz w:val="32"/>
          <w:szCs w:val="32"/>
          <w:lang w:val="en-US" w:eastAsia="zh-CN"/>
        </w:rPr>
        <w:t>3</w:t>
      </w:r>
      <w:r>
        <w:rPr>
          <w:rFonts w:hint="eastAsia" w:ascii="仿宋" w:hAnsi="仿宋" w:eastAsia="仿宋" w:cs="仿宋"/>
          <w:kern w:val="2"/>
          <w:sz w:val="32"/>
          <w:szCs w:val="32"/>
          <w:lang w:val="zh-CN"/>
        </w:rPr>
        <w:t>年度财政拨款支出141.2万元，主要用于以下方面：</w:t>
      </w:r>
      <w:r>
        <w:rPr>
          <w:rFonts w:hint="eastAsia" w:ascii="仿宋" w:hAnsi="仿宋" w:eastAsia="仿宋" w:cs="仿宋"/>
          <w:sz w:val="32"/>
          <w:szCs w:val="32"/>
        </w:rPr>
        <w:t xml:space="preserve">科学技术（类）支出 </w:t>
      </w:r>
      <w:r>
        <w:rPr>
          <w:rFonts w:hint="eastAsia" w:ascii="仿宋" w:hAnsi="仿宋" w:eastAsia="仿宋" w:cs="仿宋"/>
          <w:sz w:val="32"/>
          <w:szCs w:val="32"/>
          <w:lang w:val="en-US" w:eastAsia="zh-CN"/>
        </w:rPr>
        <w:t>97.84</w:t>
      </w:r>
      <w:r>
        <w:rPr>
          <w:rFonts w:hint="eastAsia" w:ascii="仿宋" w:hAnsi="仿宋" w:eastAsia="仿宋" w:cs="仿宋"/>
          <w:sz w:val="32"/>
          <w:szCs w:val="32"/>
        </w:rPr>
        <w:t>万元，占</w:t>
      </w:r>
      <w:r>
        <w:rPr>
          <w:rFonts w:hint="eastAsia" w:ascii="仿宋" w:hAnsi="仿宋" w:eastAsia="仿宋" w:cs="仿宋"/>
          <w:sz w:val="32"/>
          <w:szCs w:val="32"/>
          <w:lang w:val="en-US" w:eastAsia="zh-CN"/>
        </w:rPr>
        <w:t>69.29</w:t>
      </w:r>
      <w:r>
        <w:rPr>
          <w:rFonts w:hint="eastAsia" w:ascii="仿宋" w:hAnsi="仿宋" w:eastAsia="仿宋" w:cs="仿宋"/>
          <w:sz w:val="32"/>
          <w:szCs w:val="32"/>
        </w:rPr>
        <w:t>%，主要是用于其他科学技术普及等支出；社会保障和就业（类）支出</w:t>
      </w:r>
      <w:r>
        <w:rPr>
          <w:rFonts w:hint="eastAsia" w:ascii="仿宋" w:hAnsi="仿宋" w:eastAsia="仿宋" w:cs="仿宋"/>
          <w:sz w:val="32"/>
          <w:szCs w:val="32"/>
          <w:lang w:val="en-US" w:eastAsia="zh-CN"/>
        </w:rPr>
        <w:t>28.13</w:t>
      </w:r>
      <w:r>
        <w:rPr>
          <w:rFonts w:hint="eastAsia" w:ascii="仿宋" w:hAnsi="仿宋" w:eastAsia="仿宋" w:cs="仿宋"/>
          <w:sz w:val="32"/>
          <w:szCs w:val="32"/>
        </w:rPr>
        <w:t>万元，占</w:t>
      </w:r>
      <w:r>
        <w:rPr>
          <w:rFonts w:hint="eastAsia" w:ascii="仿宋" w:hAnsi="仿宋" w:eastAsia="仿宋" w:cs="仿宋"/>
          <w:sz w:val="32"/>
          <w:szCs w:val="32"/>
          <w:lang w:val="en-US" w:eastAsia="zh-CN"/>
        </w:rPr>
        <w:t>19.92</w:t>
      </w:r>
      <w:r>
        <w:rPr>
          <w:rFonts w:hint="eastAsia" w:ascii="仿宋" w:hAnsi="仿宋" w:eastAsia="仿宋" w:cs="仿宋"/>
          <w:sz w:val="32"/>
          <w:szCs w:val="32"/>
        </w:rPr>
        <w:t xml:space="preserve">%，主要是缴纳养老保险等支出；卫生健康（类）支出 </w:t>
      </w:r>
      <w:r>
        <w:rPr>
          <w:rFonts w:hint="eastAsia" w:ascii="仿宋" w:hAnsi="仿宋" w:eastAsia="仿宋" w:cs="仿宋"/>
          <w:sz w:val="32"/>
          <w:szCs w:val="32"/>
          <w:lang w:val="en-US" w:eastAsia="zh-CN"/>
        </w:rPr>
        <w:t>4.90</w:t>
      </w:r>
      <w:r>
        <w:rPr>
          <w:rFonts w:hint="eastAsia" w:ascii="仿宋" w:hAnsi="仿宋" w:eastAsia="仿宋" w:cs="仿宋"/>
          <w:sz w:val="32"/>
          <w:szCs w:val="32"/>
        </w:rPr>
        <w:t>万元，占</w:t>
      </w:r>
      <w:r>
        <w:rPr>
          <w:rFonts w:hint="eastAsia" w:ascii="仿宋" w:hAnsi="仿宋" w:eastAsia="仿宋" w:cs="仿宋"/>
          <w:sz w:val="32"/>
          <w:szCs w:val="32"/>
          <w:lang w:val="en-US" w:eastAsia="zh-CN"/>
        </w:rPr>
        <w:t>3.47</w:t>
      </w:r>
      <w:r>
        <w:rPr>
          <w:rFonts w:hint="eastAsia" w:ascii="仿宋" w:hAnsi="仿宋" w:eastAsia="仿宋" w:cs="仿宋"/>
          <w:sz w:val="32"/>
          <w:szCs w:val="32"/>
        </w:rPr>
        <w:t>%，主要是缴纳医疗保险等支出；住房保障（类）支出</w:t>
      </w:r>
      <w:r>
        <w:rPr>
          <w:rFonts w:hint="eastAsia" w:ascii="仿宋" w:hAnsi="仿宋" w:eastAsia="仿宋" w:cs="仿宋"/>
          <w:sz w:val="32"/>
          <w:szCs w:val="32"/>
          <w:lang w:val="en-US" w:eastAsia="zh-CN"/>
        </w:rPr>
        <w:t>10.33</w:t>
      </w:r>
      <w:r>
        <w:rPr>
          <w:rFonts w:hint="eastAsia" w:ascii="仿宋" w:hAnsi="仿宋" w:eastAsia="仿宋" w:cs="仿宋"/>
          <w:sz w:val="32"/>
          <w:szCs w:val="32"/>
        </w:rPr>
        <w:t>万元，占</w:t>
      </w:r>
      <w:r>
        <w:rPr>
          <w:rFonts w:hint="eastAsia" w:ascii="仿宋" w:hAnsi="仿宋" w:eastAsia="仿宋" w:cs="仿宋"/>
          <w:sz w:val="32"/>
          <w:szCs w:val="32"/>
          <w:lang w:val="en-US" w:eastAsia="zh-CN"/>
        </w:rPr>
        <w:t>7.32</w:t>
      </w:r>
      <w:r>
        <w:rPr>
          <w:rFonts w:hint="eastAsia" w:ascii="仿宋" w:hAnsi="仿宋" w:eastAsia="仿宋" w:cs="仿宋"/>
          <w:sz w:val="32"/>
          <w:szCs w:val="32"/>
        </w:rPr>
        <w:t>%，主要是缴纳住房公积金支出。</w:t>
      </w:r>
    </w:p>
    <w:p>
      <w:pPr>
        <w:pStyle w:val="10"/>
        <w:keepNext w:val="0"/>
        <w:keepLines w:val="0"/>
        <w:widowControl/>
        <w:numPr>
          <w:ilvl w:val="0"/>
          <w:numId w:val="2"/>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2"/>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pPr>
      <w:r>
        <w:rPr>
          <w:rFonts w:hint="default" w:ascii="Times New Roman" w:hAnsi="Times New Roman" w:eastAsia="楷体_GB2312" w:cs="Times New Roman"/>
          <w:b/>
          <w:bCs/>
          <w:kern w:val="2"/>
          <w:sz w:val="32"/>
          <w:szCs w:val="32"/>
          <w:lang w:val="en-US" w:eastAsia="zh-CN" w:bidi="ar-SA"/>
        </w:rPr>
        <w:t>一般公共预算基本支出决算情况说明</w:t>
      </w:r>
      <w: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t xml:space="preserve">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0" w:firstLineChars="200"/>
        <w:jc w:val="left"/>
        <w:rPr>
          <w:rFonts w:hint="eastAsia" w:ascii="仿宋" w:hAnsi="仿宋" w:eastAsia="仿宋" w:cs="仿宋"/>
          <w:sz w:val="32"/>
          <w:szCs w:val="32"/>
        </w:rPr>
      </w:pPr>
      <w:r>
        <w:rPr>
          <w:rFonts w:hint="eastAsia" w:ascii="仿宋" w:hAnsi="仿宋" w:eastAsia="仿宋" w:cs="仿宋"/>
          <w:sz w:val="32"/>
          <w:szCs w:val="32"/>
        </w:rPr>
        <w:t>202</w:t>
      </w:r>
      <w:r>
        <w:rPr>
          <w:rFonts w:hint="eastAsia" w:ascii="仿宋" w:hAnsi="仿宋" w:eastAsia="仿宋" w:cs="仿宋"/>
          <w:sz w:val="32"/>
          <w:szCs w:val="32"/>
          <w:lang w:val="en-US" w:eastAsia="zh-CN"/>
        </w:rPr>
        <w:t>3</w:t>
      </w:r>
      <w:r>
        <w:rPr>
          <w:rFonts w:hint="eastAsia" w:ascii="仿宋" w:hAnsi="仿宋" w:eastAsia="仿宋" w:cs="仿宋"/>
          <w:sz w:val="32"/>
          <w:szCs w:val="32"/>
        </w:rPr>
        <w:t>年度财政拨款基本支出</w:t>
      </w:r>
      <w:r>
        <w:rPr>
          <w:rFonts w:hint="eastAsia" w:ascii="仿宋" w:hAnsi="仿宋" w:eastAsia="仿宋" w:cs="仿宋"/>
          <w:sz w:val="32"/>
          <w:szCs w:val="32"/>
          <w:lang w:val="en-US" w:eastAsia="zh-CN"/>
        </w:rPr>
        <w:t>141.2</w:t>
      </w:r>
      <w:r>
        <w:rPr>
          <w:rFonts w:hint="eastAsia" w:ascii="仿宋" w:hAnsi="仿宋" w:eastAsia="仿宋" w:cs="仿宋"/>
          <w:sz w:val="32"/>
          <w:szCs w:val="32"/>
        </w:rPr>
        <w:t xml:space="preserve">万元，其中：人员经费 </w:t>
      </w:r>
      <w:r>
        <w:rPr>
          <w:rFonts w:hint="eastAsia" w:ascii="仿宋" w:hAnsi="仿宋" w:eastAsia="仿宋" w:cs="仿宋"/>
          <w:sz w:val="32"/>
          <w:szCs w:val="32"/>
          <w:lang w:val="en-US" w:eastAsia="zh-CN"/>
        </w:rPr>
        <w:t>137.88</w:t>
      </w:r>
      <w:r>
        <w:rPr>
          <w:rFonts w:hint="eastAsia" w:ascii="仿宋" w:hAnsi="仿宋" w:eastAsia="仿宋" w:cs="仿宋"/>
          <w:sz w:val="32"/>
          <w:szCs w:val="32"/>
        </w:rPr>
        <w:t>万元，主要包括基本工资</w:t>
      </w:r>
      <w:r>
        <w:rPr>
          <w:rFonts w:hint="eastAsia" w:ascii="仿宋" w:hAnsi="仿宋" w:eastAsia="仿宋" w:cs="仿宋"/>
          <w:sz w:val="32"/>
          <w:szCs w:val="32"/>
          <w:lang w:val="en-US" w:eastAsia="zh-CN"/>
        </w:rPr>
        <w:t>39.21</w:t>
      </w:r>
      <w:r>
        <w:rPr>
          <w:rFonts w:hint="eastAsia" w:ascii="仿宋" w:hAnsi="仿宋" w:eastAsia="仿宋" w:cs="仿宋"/>
          <w:sz w:val="32"/>
          <w:szCs w:val="32"/>
        </w:rPr>
        <w:t xml:space="preserve">万元、津贴补贴 </w:t>
      </w:r>
      <w:r>
        <w:rPr>
          <w:rFonts w:hint="eastAsia" w:ascii="仿宋" w:hAnsi="仿宋" w:eastAsia="仿宋" w:cs="仿宋"/>
          <w:sz w:val="32"/>
          <w:szCs w:val="32"/>
          <w:lang w:val="en-US" w:eastAsia="zh-CN"/>
        </w:rPr>
        <w:t>9.07</w:t>
      </w:r>
      <w:r>
        <w:rPr>
          <w:rFonts w:hint="eastAsia" w:ascii="仿宋" w:hAnsi="仿宋" w:eastAsia="仿宋" w:cs="仿宋"/>
          <w:sz w:val="32"/>
          <w:szCs w:val="32"/>
        </w:rPr>
        <w:t>万元、绩效工资</w:t>
      </w:r>
      <w:r>
        <w:rPr>
          <w:rFonts w:hint="eastAsia" w:ascii="仿宋" w:hAnsi="仿宋" w:eastAsia="仿宋" w:cs="仿宋"/>
          <w:sz w:val="32"/>
          <w:szCs w:val="32"/>
          <w:lang w:val="en-US" w:eastAsia="zh-CN"/>
        </w:rPr>
        <w:t>38.37</w:t>
      </w:r>
      <w:r>
        <w:rPr>
          <w:rFonts w:hint="eastAsia" w:ascii="仿宋" w:hAnsi="仿宋" w:eastAsia="仿宋" w:cs="仿宋"/>
          <w:sz w:val="32"/>
          <w:szCs w:val="32"/>
        </w:rPr>
        <w:t>万元、奖金</w:t>
      </w:r>
      <w:r>
        <w:rPr>
          <w:rFonts w:hint="eastAsia" w:ascii="仿宋" w:hAnsi="仿宋" w:eastAsia="仿宋" w:cs="仿宋"/>
          <w:sz w:val="32"/>
          <w:szCs w:val="32"/>
          <w:lang w:val="en-US" w:eastAsia="zh-CN"/>
        </w:rPr>
        <w:t>7.08</w:t>
      </w:r>
      <w:r>
        <w:rPr>
          <w:rFonts w:hint="eastAsia" w:ascii="仿宋" w:hAnsi="仿宋" w:eastAsia="仿宋" w:cs="仿宋"/>
          <w:sz w:val="32"/>
          <w:szCs w:val="32"/>
        </w:rPr>
        <w:t>万元、机关事业单位基本养老保险缴费</w:t>
      </w:r>
      <w:r>
        <w:rPr>
          <w:rFonts w:hint="eastAsia" w:ascii="仿宋" w:hAnsi="仿宋" w:eastAsia="仿宋" w:cs="仿宋"/>
          <w:sz w:val="32"/>
          <w:szCs w:val="32"/>
          <w:lang w:val="en-US" w:eastAsia="zh-CN"/>
        </w:rPr>
        <w:t>12.76</w:t>
      </w:r>
      <w:r>
        <w:rPr>
          <w:rFonts w:hint="eastAsia" w:ascii="仿宋" w:hAnsi="仿宋" w:eastAsia="仿宋" w:cs="仿宋"/>
          <w:sz w:val="32"/>
          <w:szCs w:val="32"/>
        </w:rPr>
        <w:t xml:space="preserve">万元、职工基本医疗保险缴费 </w:t>
      </w:r>
      <w:r>
        <w:rPr>
          <w:rFonts w:hint="eastAsia" w:ascii="仿宋" w:hAnsi="仿宋" w:eastAsia="仿宋" w:cs="仿宋"/>
          <w:sz w:val="32"/>
          <w:szCs w:val="32"/>
          <w:lang w:val="en-US" w:eastAsia="zh-CN"/>
        </w:rPr>
        <w:t>4.90</w:t>
      </w:r>
      <w:r>
        <w:rPr>
          <w:rFonts w:hint="eastAsia" w:ascii="仿宋" w:hAnsi="仿宋" w:eastAsia="仿宋" w:cs="仿宋"/>
          <w:sz w:val="32"/>
          <w:szCs w:val="32"/>
        </w:rPr>
        <w:t>万元、住房公积金</w:t>
      </w:r>
      <w:r>
        <w:rPr>
          <w:rFonts w:hint="eastAsia" w:ascii="仿宋" w:hAnsi="仿宋" w:eastAsia="仿宋" w:cs="仿宋"/>
          <w:sz w:val="32"/>
          <w:szCs w:val="32"/>
          <w:lang w:val="en-US" w:eastAsia="zh-CN"/>
        </w:rPr>
        <w:t>10.33</w:t>
      </w:r>
      <w:r>
        <w:rPr>
          <w:rFonts w:hint="eastAsia" w:ascii="仿宋" w:hAnsi="仿宋" w:eastAsia="仿宋" w:cs="仿宋"/>
          <w:sz w:val="32"/>
          <w:szCs w:val="32"/>
        </w:rPr>
        <w:t>万元、其他社会保障缴费</w:t>
      </w:r>
      <w:r>
        <w:rPr>
          <w:rFonts w:hint="eastAsia" w:ascii="仿宋" w:hAnsi="仿宋" w:eastAsia="仿宋" w:cs="仿宋"/>
          <w:sz w:val="32"/>
          <w:szCs w:val="32"/>
          <w:lang w:val="en-US" w:eastAsia="zh-CN"/>
        </w:rPr>
        <w:t>0.80万元、</w:t>
      </w:r>
      <w:r>
        <w:rPr>
          <w:rFonts w:hint="eastAsia" w:ascii="仿宋" w:hAnsi="仿宋" w:eastAsia="仿宋" w:cs="仿宋"/>
          <w:sz w:val="32"/>
          <w:szCs w:val="32"/>
        </w:rPr>
        <w:t>退休费</w:t>
      </w:r>
      <w:r>
        <w:rPr>
          <w:rFonts w:hint="eastAsia" w:ascii="仿宋" w:hAnsi="仿宋" w:eastAsia="仿宋" w:cs="仿宋"/>
          <w:sz w:val="32"/>
          <w:szCs w:val="32"/>
          <w:lang w:val="en-US" w:eastAsia="zh-CN"/>
        </w:rPr>
        <w:t>15.36</w:t>
      </w:r>
      <w:r>
        <w:rPr>
          <w:rFonts w:hint="eastAsia" w:ascii="仿宋" w:hAnsi="仿宋" w:eastAsia="仿宋" w:cs="仿宋"/>
          <w:sz w:val="32"/>
          <w:szCs w:val="32"/>
        </w:rPr>
        <w:t>万元。</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0" w:firstLineChars="200"/>
        <w:jc w:val="left"/>
        <w:rPr>
          <w:rFonts w:hint="default" w:ascii="Times New Roman" w:hAnsi="Times New Roman" w:eastAsia="仿宋_GB2312" w:cs="Times New Roman"/>
          <w:color w:val="auto"/>
          <w:kern w:val="0"/>
          <w:sz w:val="32"/>
          <w:szCs w:val="32"/>
          <w:highlight w:val="yellow"/>
          <w:lang w:val="en-US" w:eastAsia="zh-CN" w:bidi="ar-SA"/>
        </w:rPr>
      </w:pPr>
      <w:r>
        <w:rPr>
          <w:rFonts w:hint="eastAsia" w:ascii="仿宋" w:hAnsi="仿宋" w:eastAsia="仿宋" w:cs="仿宋"/>
          <w:sz w:val="32"/>
          <w:szCs w:val="32"/>
        </w:rPr>
        <w:t>公用经费 3.</w:t>
      </w:r>
      <w:r>
        <w:rPr>
          <w:rFonts w:hint="eastAsia" w:ascii="仿宋" w:hAnsi="仿宋" w:eastAsia="仿宋" w:cs="仿宋"/>
          <w:sz w:val="32"/>
          <w:szCs w:val="32"/>
          <w:lang w:val="en-US" w:eastAsia="zh-CN"/>
        </w:rPr>
        <w:t>32</w:t>
      </w:r>
      <w:r>
        <w:rPr>
          <w:rFonts w:hint="eastAsia" w:ascii="仿宋" w:hAnsi="仿宋" w:eastAsia="仿宋" w:cs="仿宋"/>
          <w:sz w:val="32"/>
          <w:szCs w:val="32"/>
        </w:rPr>
        <w:t>万元，主要包括办公费</w:t>
      </w:r>
      <w:r>
        <w:rPr>
          <w:rFonts w:hint="eastAsia" w:ascii="仿宋" w:hAnsi="仿宋" w:eastAsia="仿宋" w:cs="仿宋"/>
          <w:sz w:val="32"/>
          <w:szCs w:val="32"/>
          <w:lang w:val="en-US" w:eastAsia="zh-CN"/>
        </w:rPr>
        <w:t>1.37</w:t>
      </w:r>
      <w:r>
        <w:rPr>
          <w:rFonts w:hint="eastAsia" w:ascii="仿宋" w:hAnsi="仿宋" w:eastAsia="仿宋" w:cs="仿宋"/>
          <w:sz w:val="32"/>
          <w:szCs w:val="32"/>
        </w:rPr>
        <w:t>万元、取暖费0</w:t>
      </w:r>
      <w:r>
        <w:rPr>
          <w:rFonts w:hint="eastAsia" w:ascii="仿宋" w:hAnsi="仿宋" w:eastAsia="仿宋" w:cs="仿宋"/>
          <w:sz w:val="32"/>
          <w:szCs w:val="32"/>
          <w:lang w:val="en-US" w:eastAsia="zh-CN"/>
        </w:rPr>
        <w:t>.64</w:t>
      </w:r>
      <w:r>
        <w:rPr>
          <w:rFonts w:hint="eastAsia" w:ascii="仿宋" w:hAnsi="仿宋" w:eastAsia="仿宋" w:cs="仿宋"/>
          <w:sz w:val="32"/>
          <w:szCs w:val="32"/>
        </w:rPr>
        <w:t>万元、工会经费 0.</w:t>
      </w:r>
      <w:r>
        <w:rPr>
          <w:rFonts w:hint="eastAsia" w:ascii="仿宋" w:hAnsi="仿宋" w:eastAsia="仿宋" w:cs="仿宋"/>
          <w:sz w:val="32"/>
          <w:szCs w:val="32"/>
          <w:lang w:val="en-US" w:eastAsia="zh-CN"/>
        </w:rPr>
        <w:t>72</w:t>
      </w:r>
      <w:r>
        <w:rPr>
          <w:rFonts w:hint="eastAsia" w:ascii="仿宋" w:hAnsi="仿宋" w:eastAsia="仿宋" w:cs="仿宋"/>
          <w:sz w:val="32"/>
          <w:szCs w:val="32"/>
        </w:rPr>
        <w:t>万元、福利费0.</w:t>
      </w:r>
      <w:r>
        <w:rPr>
          <w:rFonts w:hint="eastAsia" w:ascii="仿宋" w:hAnsi="仿宋" w:eastAsia="仿宋" w:cs="仿宋"/>
          <w:sz w:val="32"/>
          <w:szCs w:val="32"/>
          <w:lang w:val="en-US" w:eastAsia="zh-CN"/>
        </w:rPr>
        <w:t>15</w:t>
      </w:r>
      <w:r>
        <w:rPr>
          <w:rFonts w:hint="eastAsia" w:ascii="仿宋" w:hAnsi="仿宋" w:eastAsia="仿宋" w:cs="仿宋"/>
          <w:sz w:val="32"/>
          <w:szCs w:val="32"/>
        </w:rPr>
        <w:t>万元、其他商品和服务支出 0.</w:t>
      </w:r>
      <w:r>
        <w:rPr>
          <w:rFonts w:hint="eastAsia" w:ascii="仿宋" w:hAnsi="仿宋" w:eastAsia="仿宋" w:cs="仿宋"/>
          <w:sz w:val="32"/>
          <w:szCs w:val="32"/>
          <w:lang w:val="en-US" w:eastAsia="zh-CN"/>
        </w:rPr>
        <w:t>44</w:t>
      </w:r>
      <w:r>
        <w:rPr>
          <w:rFonts w:hint="eastAsia" w:ascii="仿宋" w:hAnsi="仿宋" w:eastAsia="仿宋" w:cs="仿宋"/>
          <w:sz w:val="32"/>
          <w:szCs w:val="32"/>
        </w:rPr>
        <w:t>万元。</w:t>
      </w:r>
      <w:r>
        <w:rPr>
          <w:rFonts w:hint="eastAsia" w:ascii="仿宋" w:hAnsi="仿宋" w:eastAsia="仿宋" w:cs="仿宋"/>
          <w:i w:val="0"/>
          <w:iCs w:val="0"/>
          <w:caps w:val="0"/>
          <w:color w:val="333333"/>
          <w:spacing w:val="0"/>
          <w:sz w:val="32"/>
          <w:szCs w:val="32"/>
          <w:highlight w:val="none"/>
          <w:shd w:val="clear" w:fill="FFFFFF"/>
        </w:rPr>
        <w:t> </w:t>
      </w:r>
      <w:r>
        <w:rPr>
          <w:rFonts w:hint="eastAsia" w:ascii="仿宋" w:hAnsi="仿宋" w:eastAsia="仿宋" w:cs="仿宋"/>
          <w:i w:val="0"/>
          <w:iCs w:val="0"/>
          <w:caps w:val="0"/>
          <w:color w:val="333333"/>
          <w:spacing w:val="0"/>
          <w:sz w:val="32"/>
          <w:szCs w:val="32"/>
          <w:highlight w:val="none"/>
          <w:shd w:val="clear" w:fill="FFFFFF"/>
          <w:lang w:val="en-US" w:eastAsia="zh-CN"/>
        </w:rPr>
        <w:t xml:space="preserve">  </w:t>
      </w:r>
      <w: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t xml:space="preserve">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黑体" w:cs="Times New Roman"/>
          <w:kern w:val="2"/>
          <w:sz w:val="32"/>
          <w:szCs w:val="32"/>
          <w:lang w:val="en-US" w:eastAsia="zh-CN" w:bidi="ar-SA"/>
        </w:rPr>
      </w:pPr>
      <w:r>
        <w:rPr>
          <w:rFonts w:hint="default" w:ascii="Times New Roman" w:hAnsi="Times New Roman" w:eastAsia="黑体" w:cs="Times New Roman"/>
          <w:kern w:val="2"/>
          <w:sz w:val="32"/>
          <w:szCs w:val="32"/>
          <w:lang w:val="en-US" w:eastAsia="zh-CN" w:bidi="ar-SA"/>
        </w:rPr>
        <w:t>五、财政拨款“三公” 经费支出决算情况说明</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2"/>
        <w:rPr>
          <w:rFonts w:hint="default" w:ascii="Times New Roman" w:hAnsi="Times New Roman" w:eastAsia="楷体_GB2312" w:cs="Times New Roman"/>
          <w:b/>
          <w:bCs/>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（一）“三公”经费财政拨款支出决算总体情况说明</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lang w:eastAsia="zh-CN"/>
        </w:rPr>
        <w:t xml:space="preserve"> </w:t>
      </w:r>
      <w:r>
        <w:rPr>
          <w:rFonts w:hint="eastAsia" w:ascii="仿宋" w:hAnsi="仿宋" w:eastAsia="仿宋" w:cs="仿宋"/>
          <w:color w:val="auto"/>
          <w:kern w:val="2"/>
          <w:sz w:val="32"/>
          <w:szCs w:val="32"/>
          <w:lang w:val="en-US" w:eastAsia="zh-CN" w:bidi="ar-SA"/>
        </w:rPr>
        <w:t xml:space="preserve"> </w:t>
      </w:r>
      <w:r>
        <w:rPr>
          <w:rFonts w:hint="eastAsia" w:ascii="仿宋" w:hAnsi="仿宋" w:eastAsia="仿宋" w:cs="仿宋"/>
          <w:sz w:val="32"/>
          <w:szCs w:val="32"/>
        </w:rPr>
        <w:t>本单位202</w:t>
      </w:r>
      <w:r>
        <w:rPr>
          <w:rFonts w:hint="eastAsia" w:ascii="仿宋" w:hAnsi="仿宋" w:eastAsia="仿宋" w:cs="仿宋"/>
          <w:sz w:val="32"/>
          <w:szCs w:val="32"/>
          <w:lang w:val="en-US" w:eastAsia="zh-CN"/>
        </w:rPr>
        <w:t>3</w:t>
      </w:r>
      <w:r>
        <w:rPr>
          <w:rFonts w:hint="eastAsia" w:ascii="仿宋" w:hAnsi="仿宋" w:eastAsia="仿宋" w:cs="仿宋"/>
          <w:sz w:val="32"/>
          <w:szCs w:val="32"/>
        </w:rPr>
        <w:t>年度“三公”经费财政拨款支出预算为0万元，支出决算为0万元，完成预算的</w:t>
      </w:r>
      <w:r>
        <w:rPr>
          <w:rFonts w:hint="eastAsia" w:ascii="仿宋" w:hAnsi="仿宋" w:eastAsia="仿宋" w:cs="仿宋"/>
          <w:sz w:val="32"/>
          <w:szCs w:val="32"/>
          <w:lang w:val="en-US" w:eastAsia="zh-CN"/>
        </w:rPr>
        <w:t>100</w:t>
      </w:r>
      <w:r>
        <w:rPr>
          <w:rFonts w:hint="eastAsia" w:ascii="仿宋" w:hAnsi="仿宋" w:eastAsia="仿宋" w:cs="仿宋"/>
          <w:sz w:val="32"/>
          <w:szCs w:val="32"/>
        </w:rPr>
        <w:t>%,</w:t>
      </w:r>
      <w:r>
        <w:rPr>
          <w:rFonts w:hint="eastAsia" w:ascii="仿宋" w:hAnsi="仿宋" w:eastAsia="仿宋" w:cs="仿宋"/>
          <w:sz w:val="32"/>
          <w:szCs w:val="32"/>
          <w:lang w:eastAsia="zh-CN"/>
        </w:rPr>
        <w:t>较预算增加</w:t>
      </w:r>
      <w:r>
        <w:rPr>
          <w:rFonts w:hint="eastAsia" w:ascii="仿宋" w:hAnsi="仿宋" w:eastAsia="仿宋" w:cs="仿宋"/>
          <w:sz w:val="32"/>
          <w:szCs w:val="32"/>
          <w:lang w:val="en-US" w:eastAsia="zh-CN"/>
        </w:rPr>
        <w:t>0万元，增长0%，与预算持平，</w:t>
      </w:r>
      <w:r>
        <w:rPr>
          <w:rFonts w:hint="eastAsia" w:ascii="仿宋" w:hAnsi="仿宋" w:eastAsia="仿宋" w:cs="仿宋"/>
          <w:sz w:val="32"/>
          <w:szCs w:val="32"/>
        </w:rPr>
        <w:t>主要是</w:t>
      </w:r>
      <w:r>
        <w:rPr>
          <w:rFonts w:hint="eastAsia" w:ascii="仿宋" w:hAnsi="仿宋" w:eastAsia="仿宋" w:cs="仿宋"/>
          <w:sz w:val="32"/>
          <w:szCs w:val="32"/>
          <w:lang w:eastAsia="zh-CN"/>
        </w:rPr>
        <w:t>未发生</w:t>
      </w:r>
      <w:r>
        <w:rPr>
          <w:rFonts w:hint="eastAsia" w:ascii="仿宋" w:hAnsi="仿宋" w:eastAsia="仿宋" w:cs="仿宋"/>
          <w:sz w:val="32"/>
          <w:szCs w:val="32"/>
        </w:rPr>
        <w:t>“三公”经费支出；较 202</w:t>
      </w:r>
      <w:r>
        <w:rPr>
          <w:rFonts w:hint="eastAsia" w:ascii="仿宋" w:hAnsi="仿宋" w:eastAsia="仿宋" w:cs="仿宋"/>
          <w:sz w:val="32"/>
          <w:szCs w:val="32"/>
          <w:lang w:val="en-US" w:eastAsia="zh-CN"/>
        </w:rPr>
        <w:t>2</w:t>
      </w:r>
      <w:r>
        <w:rPr>
          <w:rFonts w:hint="eastAsia" w:ascii="仿宋" w:hAnsi="仿宋" w:eastAsia="仿宋" w:cs="仿宋"/>
          <w:sz w:val="32"/>
          <w:szCs w:val="32"/>
        </w:rPr>
        <w:t>年度</w:t>
      </w:r>
      <w:r>
        <w:rPr>
          <w:rFonts w:hint="eastAsia" w:ascii="仿宋" w:hAnsi="仿宋" w:eastAsia="仿宋" w:cs="仿宋"/>
          <w:sz w:val="32"/>
          <w:szCs w:val="32"/>
          <w:lang w:eastAsia="zh-CN"/>
        </w:rPr>
        <w:t>决算增加</w:t>
      </w:r>
      <w:r>
        <w:rPr>
          <w:rFonts w:hint="eastAsia" w:ascii="仿宋" w:hAnsi="仿宋" w:eastAsia="仿宋" w:cs="仿宋"/>
          <w:sz w:val="32"/>
          <w:szCs w:val="32"/>
        </w:rPr>
        <w:t>0万元，</w:t>
      </w:r>
      <w:r>
        <w:rPr>
          <w:rFonts w:hint="eastAsia" w:ascii="仿宋" w:hAnsi="仿宋" w:eastAsia="仿宋" w:cs="仿宋"/>
          <w:sz w:val="32"/>
          <w:szCs w:val="32"/>
          <w:lang w:eastAsia="zh-CN"/>
        </w:rPr>
        <w:t>增长</w:t>
      </w:r>
      <w:r>
        <w:rPr>
          <w:rFonts w:hint="eastAsia" w:ascii="仿宋" w:hAnsi="仿宋" w:eastAsia="仿宋" w:cs="仿宋"/>
          <w:sz w:val="32"/>
          <w:szCs w:val="32"/>
        </w:rPr>
        <w:t>0%，主要是</w:t>
      </w:r>
      <w:r>
        <w:rPr>
          <w:rFonts w:hint="eastAsia" w:ascii="仿宋" w:hAnsi="仿宋" w:eastAsia="仿宋" w:cs="仿宋"/>
          <w:sz w:val="32"/>
          <w:szCs w:val="32"/>
          <w:lang w:eastAsia="zh-CN"/>
        </w:rPr>
        <w:t>未发生</w:t>
      </w:r>
      <w:r>
        <w:rPr>
          <w:rFonts w:hint="eastAsia" w:ascii="仿宋" w:hAnsi="仿宋" w:eastAsia="仿宋" w:cs="仿宋"/>
          <w:sz w:val="32"/>
          <w:szCs w:val="32"/>
        </w:rPr>
        <w:t>“三公”经费支出。</w:t>
      </w:r>
    </w:p>
    <w:p>
      <w:pPr>
        <w:adjustRightInd w:val="0"/>
        <w:snapToGrid w:val="0"/>
        <w:spacing w:line="580" w:lineRule="exact"/>
        <w:rPr>
          <w:rFonts w:hint="default" w:ascii="Times New Roman" w:hAnsi="Times New Roman" w:eastAsia="楷体_GB2312" w:cs="Times New Roman"/>
          <w:b/>
          <w:bCs/>
          <w:kern w:val="2"/>
          <w:sz w:val="32"/>
          <w:szCs w:val="32"/>
        </w:rPr>
      </w:pPr>
      <w:r>
        <w:rPr>
          <w:rFonts w:hint="default" w:ascii="Times New Roman" w:hAnsi="Times New Roman" w:eastAsia="楷体_GB2312" w:cs="Times New Roman"/>
          <w:b/>
          <w:bCs/>
          <w:kern w:val="2"/>
          <w:sz w:val="32"/>
          <w:szCs w:val="32"/>
        </w:rPr>
        <w:t>（二）“三公”经费财政拨款支出决算具体情况说明</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3" w:firstLineChars="200"/>
        <w:jc w:val="left"/>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1.因公出国（境）费支出情况。</w:t>
      </w:r>
      <w:r>
        <w:rPr>
          <w:rFonts w:hint="default" w:ascii="Times New Roman" w:hAnsi="Times New Roman" w:eastAsia="仿宋_GB2312" w:cs="Times New Roman"/>
          <w:color w:val="auto"/>
          <w:kern w:val="2"/>
          <w:sz w:val="32"/>
          <w:szCs w:val="32"/>
          <w:lang w:val="zh-CN" w:eastAsia="zh-CN" w:bidi="ar-SA"/>
        </w:rPr>
        <w:t>本单位</w:t>
      </w:r>
      <w:r>
        <w:rPr>
          <w:rFonts w:hint="default" w:ascii="Times New Roman" w:hAnsi="Times New Roman" w:eastAsia="仿宋_GB2312" w:cs="Times New Roman"/>
          <w:color w:val="auto"/>
          <w:kern w:val="2"/>
          <w:sz w:val="32"/>
          <w:szCs w:val="32"/>
          <w:lang w:val="en-US" w:eastAsia="zh-CN" w:bidi="ar-SA"/>
        </w:rPr>
        <w:t>2023年度因公出国（境）费支出预算为0万元,支出决算0万元。完成预算的</w:t>
      </w:r>
      <w:r>
        <w:rPr>
          <w:rFonts w:hint="eastAsia" w:ascii="Times New Roman" w:hAnsi="Times New Roman" w:eastAsia="仿宋_GB2312" w:cs="Times New Roman"/>
          <w:color w:val="auto"/>
          <w:kern w:val="2"/>
          <w:sz w:val="32"/>
          <w:szCs w:val="32"/>
          <w:lang w:val="en-US" w:eastAsia="zh-CN" w:bidi="ar-SA"/>
        </w:rPr>
        <w:t>1</w:t>
      </w:r>
      <w:r>
        <w:rPr>
          <w:rFonts w:hint="default" w:ascii="Times New Roman" w:hAnsi="Times New Roman" w:eastAsia="仿宋_GB2312" w:cs="Times New Roman"/>
          <w:color w:val="auto"/>
          <w:kern w:val="2"/>
          <w:sz w:val="32"/>
          <w:szCs w:val="32"/>
          <w:lang w:val="en-US" w:eastAsia="zh-CN" w:bidi="ar-SA"/>
        </w:rPr>
        <w:t>00</w:t>
      </w:r>
      <w:r>
        <w:rPr>
          <w:rFonts w:hint="eastAsia" w:ascii="Times New Roman" w:hAnsi="Times New Roman" w:eastAsia="仿宋_GB2312" w:cs="Times New Roman"/>
          <w:color w:val="auto"/>
          <w:kern w:val="2"/>
          <w:sz w:val="32"/>
          <w:szCs w:val="32"/>
          <w:lang w:val="en-US" w:eastAsia="zh-CN" w:bidi="ar-SA"/>
        </w:rPr>
        <w:t>%</w:t>
      </w:r>
      <w:r>
        <w:rPr>
          <w:rFonts w:hint="default" w:ascii="Times New Roman" w:hAnsi="Times New Roman" w:eastAsia="仿宋_GB2312" w:cs="Times New Roman"/>
          <w:color w:val="auto"/>
          <w:kern w:val="2"/>
          <w:sz w:val="32"/>
          <w:szCs w:val="32"/>
          <w:lang w:val="en-US" w:eastAsia="zh-CN" w:bidi="ar-SA"/>
        </w:rPr>
        <w:t>。</w:t>
      </w:r>
      <w:r>
        <w:rPr>
          <w:rFonts w:hint="eastAsia" w:ascii="Times New Roman" w:hAnsi="Times New Roman" w:eastAsia="仿宋_GB2312" w:cs="Times New Roman"/>
          <w:color w:val="auto"/>
          <w:kern w:val="2"/>
          <w:sz w:val="32"/>
          <w:szCs w:val="32"/>
          <w:lang w:val="en-US" w:eastAsia="zh-CN" w:bidi="ar-SA"/>
        </w:rPr>
        <w:t>其中</w:t>
      </w:r>
      <w:r>
        <w:rPr>
          <w:rFonts w:hint="default" w:ascii="Times New Roman" w:hAnsi="Times New Roman" w:eastAsia="仿宋_GB2312" w:cs="Times New Roman"/>
          <w:color w:val="auto"/>
          <w:kern w:val="2"/>
          <w:sz w:val="32"/>
          <w:szCs w:val="32"/>
          <w:lang w:val="en-US" w:eastAsia="zh-CN" w:bidi="ar-SA"/>
        </w:rPr>
        <w:t>因公出国（境）团组0个、共</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en-US" w:eastAsia="zh-CN" w:bidi="ar-SA"/>
        </w:rPr>
        <w:t>人、参加其他单位组织的因公出国（境）团组</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en-US" w:eastAsia="zh-CN" w:bidi="ar-SA"/>
        </w:rPr>
        <w:t>个、共</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en-US" w:eastAsia="zh-CN" w:bidi="ar-SA"/>
        </w:rPr>
        <w:t>人</w:t>
      </w:r>
      <w:r>
        <w:rPr>
          <w:rFonts w:hint="eastAsia" w:ascii="Times New Roman" w:hAnsi="Times New Roman" w:eastAsia="仿宋_GB2312" w:cs="Times New Roman"/>
          <w:color w:val="auto"/>
          <w:kern w:val="2"/>
          <w:sz w:val="32"/>
          <w:szCs w:val="32"/>
          <w:lang w:val="en-US" w:eastAsia="zh-CN" w:bidi="ar-SA"/>
        </w:rPr>
        <w:t>、</w:t>
      </w:r>
      <w:r>
        <w:rPr>
          <w:rFonts w:hint="default" w:ascii="Times New Roman" w:hAnsi="Times New Roman" w:eastAsia="仿宋_GB2312" w:cs="Times New Roman"/>
          <w:color w:val="auto"/>
          <w:kern w:val="2"/>
          <w:sz w:val="32"/>
          <w:szCs w:val="32"/>
          <w:lang w:val="en-US" w:eastAsia="zh-CN" w:bidi="ar-SA"/>
        </w:rPr>
        <w:t>无本</w:t>
      </w:r>
      <w:r>
        <w:rPr>
          <w:rFonts w:hint="eastAsia" w:ascii="Times New Roman" w:hAnsi="Times New Roman" w:eastAsia="仿宋_GB2312" w:cs="Times New Roman"/>
          <w:color w:val="auto"/>
          <w:kern w:val="2"/>
          <w:sz w:val="32"/>
          <w:szCs w:val="32"/>
          <w:lang w:val="en-US" w:eastAsia="zh-CN" w:bidi="ar-SA"/>
        </w:rPr>
        <w:t>单位</w:t>
      </w:r>
      <w:r>
        <w:rPr>
          <w:rFonts w:hint="default" w:ascii="Times New Roman" w:hAnsi="Times New Roman" w:eastAsia="仿宋_GB2312" w:cs="Times New Roman"/>
          <w:color w:val="auto"/>
          <w:kern w:val="2"/>
          <w:sz w:val="32"/>
          <w:szCs w:val="32"/>
          <w:lang w:val="en-US" w:eastAsia="zh-CN" w:bidi="ar-SA"/>
        </w:rPr>
        <w:t>组织的出国（境）团组。因公出国（境）费支出较预算增加</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en-US" w:eastAsia="zh-CN" w:bidi="ar-SA"/>
        </w:rPr>
        <w:t>万元，增长</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en-US" w:eastAsia="zh-CN" w:bidi="ar-SA"/>
        </w:rPr>
        <w:t>%,主要是</w:t>
      </w:r>
      <w:r>
        <w:rPr>
          <w:rFonts w:hint="eastAsia" w:ascii="Times New Roman" w:hAnsi="Times New Roman" w:eastAsia="仿宋_GB2312" w:cs="Times New Roman"/>
          <w:color w:val="auto"/>
          <w:kern w:val="2"/>
          <w:sz w:val="32"/>
          <w:szCs w:val="32"/>
          <w:lang w:val="en-US" w:eastAsia="zh-CN" w:bidi="ar-SA"/>
        </w:rPr>
        <w:t>未发生因公出国（境）费用</w:t>
      </w:r>
      <w:r>
        <w:rPr>
          <w:rFonts w:hint="default" w:ascii="Times New Roman" w:hAnsi="Times New Roman" w:eastAsia="仿宋_GB2312" w:cs="Times New Roman"/>
          <w:color w:val="auto"/>
          <w:kern w:val="2"/>
          <w:sz w:val="32"/>
          <w:szCs w:val="32"/>
          <w:lang w:val="en-US" w:eastAsia="zh-CN" w:bidi="ar-SA"/>
        </w:rPr>
        <w:t>；较上年增加</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en-US" w:eastAsia="zh-CN" w:bidi="ar-SA"/>
        </w:rPr>
        <w:t>万元，增长</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en-US" w:eastAsia="zh-CN" w:bidi="ar-SA"/>
        </w:rPr>
        <w:t>%,主要是</w:t>
      </w:r>
      <w:r>
        <w:rPr>
          <w:rFonts w:hint="eastAsia" w:ascii="Times New Roman" w:hAnsi="Times New Roman" w:eastAsia="仿宋_GB2312" w:cs="Times New Roman"/>
          <w:color w:val="auto"/>
          <w:kern w:val="2"/>
          <w:sz w:val="32"/>
          <w:szCs w:val="32"/>
          <w:lang w:val="en-US" w:eastAsia="zh-CN" w:bidi="ar-SA"/>
        </w:rPr>
        <w:t>未发生因公出国（境）费用与2022年度决算支出持平</w:t>
      </w:r>
      <w:r>
        <w:rPr>
          <w:rFonts w:hint="default" w:ascii="Times New Roman" w:hAnsi="Times New Roman" w:eastAsia="仿宋_GB2312" w:cs="Times New Roman"/>
          <w:color w:val="auto"/>
          <w:kern w:val="2"/>
          <w:sz w:val="32"/>
          <w:szCs w:val="32"/>
          <w:lang w:val="en-US" w:eastAsia="zh-CN" w:bidi="ar-SA"/>
        </w:rPr>
        <w:t>。</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0" w:firstLineChars="200"/>
        <w:jc w:val="left"/>
        <w:rPr>
          <w:rFonts w:hint="eastAsia" w:ascii="仿宋" w:hAnsi="仿宋" w:eastAsia="仿宋" w:cs="仿宋"/>
          <w:color w:val="auto"/>
          <w:kern w:val="2"/>
          <w:sz w:val="32"/>
          <w:szCs w:val="32"/>
          <w:lang w:val="en-US" w:eastAsia="zh-CN" w:bidi="ar-SA"/>
        </w:rPr>
      </w:pPr>
    </w:p>
    <w:p>
      <w:pPr>
        <w:keepNext w:val="0"/>
        <w:keepLines w:val="0"/>
        <w:pageBreakBefore w:val="0"/>
        <w:kinsoku/>
        <w:wordWrap/>
        <w:overflowPunct/>
        <w:topLinePunct w:val="0"/>
        <w:autoSpaceDE/>
        <w:autoSpaceDN/>
        <w:bidi w:val="0"/>
        <w:adjustRightInd w:val="0"/>
        <w:snapToGrid w:val="0"/>
        <w:spacing w:line="580" w:lineRule="exact"/>
        <w:ind w:firstLine="643" w:firstLineChars="200"/>
        <w:jc w:val="left"/>
        <w:textAlignment w:val="auto"/>
        <w:rPr>
          <w:rFonts w:hint="eastAsia" w:ascii="仿宋" w:hAnsi="仿宋" w:eastAsia="仿宋" w:cs="仿宋"/>
          <w:sz w:val="32"/>
          <w:szCs w:val="32"/>
          <w:highlight w:val="none"/>
          <w:lang w:eastAsia="zh-CN"/>
        </w:rPr>
      </w:pPr>
      <w:r>
        <w:rPr>
          <w:rFonts w:hint="default" w:ascii="Times New Roman" w:hAnsi="Times New Roman" w:eastAsia="楷体_GB2312" w:cs="Times New Roman"/>
          <w:b/>
          <w:bCs/>
          <w:kern w:val="2"/>
          <w:sz w:val="32"/>
          <w:szCs w:val="32"/>
          <w:lang w:val="en-US" w:eastAsia="zh-CN" w:bidi="ar-SA"/>
        </w:rPr>
        <w:t>2.</w:t>
      </w:r>
      <w:r>
        <w:rPr>
          <w:rFonts w:hint="default" w:ascii="Times New Roman" w:hAnsi="Times New Roman" w:eastAsia="楷体_GB2312" w:cs="Times New Roman"/>
          <w:b/>
          <w:bCs/>
          <w:sz w:val="32"/>
          <w:szCs w:val="32"/>
        </w:rPr>
        <w:t>公务用车购置及运行维护费支出情况。</w:t>
      </w:r>
      <w:r>
        <w:rPr>
          <w:rFonts w:hint="eastAsia" w:ascii="仿宋" w:hAnsi="仿宋" w:eastAsia="仿宋" w:cs="仿宋"/>
          <w:sz w:val="32"/>
          <w:szCs w:val="32"/>
        </w:rPr>
        <w:t>本单位202</w:t>
      </w:r>
      <w:r>
        <w:rPr>
          <w:rFonts w:hint="eastAsia" w:ascii="仿宋" w:hAnsi="仿宋" w:eastAsia="仿宋" w:cs="仿宋"/>
          <w:sz w:val="32"/>
          <w:szCs w:val="32"/>
          <w:lang w:val="en-US" w:eastAsia="zh-CN"/>
        </w:rPr>
        <w:t>3</w:t>
      </w:r>
      <w:r>
        <w:rPr>
          <w:rFonts w:hint="eastAsia" w:ascii="仿宋" w:hAnsi="仿宋" w:eastAsia="仿宋" w:cs="仿宋"/>
          <w:sz w:val="32"/>
          <w:szCs w:val="32"/>
        </w:rPr>
        <w:t>年度公务用车购置及运行维护费预算为0万元，支出决算0万元，完成预算的</w:t>
      </w:r>
      <w:r>
        <w:rPr>
          <w:rFonts w:hint="eastAsia" w:ascii="仿宋" w:hAnsi="仿宋" w:eastAsia="仿宋" w:cs="仿宋"/>
          <w:sz w:val="32"/>
          <w:szCs w:val="32"/>
          <w:lang w:val="en-US" w:eastAsia="zh-CN"/>
        </w:rPr>
        <w:t>100</w:t>
      </w:r>
      <w:r>
        <w:rPr>
          <w:rFonts w:hint="eastAsia" w:ascii="仿宋" w:hAnsi="仿宋" w:eastAsia="仿宋" w:cs="仿宋"/>
          <w:sz w:val="32"/>
          <w:szCs w:val="32"/>
        </w:rPr>
        <w:t>%</w:t>
      </w:r>
      <w:r>
        <w:rPr>
          <w:rFonts w:hint="eastAsia" w:ascii="仿宋" w:hAnsi="仿宋" w:eastAsia="仿宋" w:cs="仿宋"/>
          <w:sz w:val="32"/>
          <w:szCs w:val="32"/>
          <w:lang w:eastAsia="zh-CN"/>
        </w:rPr>
        <w:t>。</w:t>
      </w:r>
      <w:r>
        <w:rPr>
          <w:rFonts w:hint="eastAsia" w:ascii="仿宋" w:hAnsi="仿宋" w:eastAsia="仿宋" w:cs="仿宋"/>
          <w:sz w:val="32"/>
          <w:szCs w:val="32"/>
        </w:rPr>
        <w:t>较预算</w:t>
      </w:r>
      <w:r>
        <w:rPr>
          <w:rFonts w:hint="eastAsia" w:ascii="仿宋" w:hAnsi="仿宋" w:eastAsia="仿宋" w:cs="仿宋"/>
          <w:sz w:val="32"/>
          <w:szCs w:val="32"/>
          <w:lang w:eastAsia="zh-CN"/>
        </w:rPr>
        <w:t>增加</w:t>
      </w:r>
      <w:r>
        <w:rPr>
          <w:rFonts w:hint="eastAsia" w:ascii="仿宋" w:hAnsi="仿宋" w:eastAsia="仿宋" w:cs="仿宋"/>
          <w:sz w:val="32"/>
          <w:szCs w:val="32"/>
        </w:rPr>
        <w:t>0万元，</w:t>
      </w:r>
      <w:r>
        <w:rPr>
          <w:rFonts w:hint="eastAsia" w:ascii="仿宋" w:hAnsi="仿宋" w:eastAsia="仿宋" w:cs="仿宋"/>
          <w:sz w:val="32"/>
          <w:szCs w:val="32"/>
          <w:lang w:eastAsia="zh-CN"/>
        </w:rPr>
        <w:t>增长</w:t>
      </w:r>
      <w:r>
        <w:rPr>
          <w:rFonts w:hint="eastAsia" w:ascii="仿宋" w:hAnsi="仿宋" w:eastAsia="仿宋" w:cs="仿宋"/>
          <w:sz w:val="32"/>
          <w:szCs w:val="32"/>
        </w:rPr>
        <w:t>0%,主要是</w:t>
      </w:r>
      <w:r>
        <w:rPr>
          <w:rFonts w:hint="eastAsia" w:ascii="仿宋" w:hAnsi="仿宋" w:eastAsia="仿宋" w:cs="仿宋"/>
          <w:sz w:val="32"/>
          <w:szCs w:val="32"/>
          <w:lang w:eastAsia="zh-CN"/>
        </w:rPr>
        <w:t>未发生公务用车购置及运行维护费</w:t>
      </w:r>
      <w:r>
        <w:rPr>
          <w:rFonts w:hint="eastAsia" w:ascii="仿宋" w:hAnsi="仿宋" w:eastAsia="仿宋" w:cs="仿宋"/>
          <w:sz w:val="32"/>
          <w:szCs w:val="32"/>
        </w:rPr>
        <w:t>；较上年</w:t>
      </w:r>
      <w:r>
        <w:rPr>
          <w:rFonts w:hint="eastAsia" w:ascii="仿宋" w:hAnsi="仿宋" w:eastAsia="仿宋" w:cs="仿宋"/>
          <w:sz w:val="32"/>
          <w:szCs w:val="32"/>
          <w:lang w:eastAsia="zh-CN"/>
        </w:rPr>
        <w:t>增加</w:t>
      </w:r>
      <w:r>
        <w:rPr>
          <w:rFonts w:hint="eastAsia" w:ascii="仿宋" w:hAnsi="仿宋" w:eastAsia="仿宋" w:cs="仿宋"/>
          <w:sz w:val="32"/>
          <w:szCs w:val="32"/>
          <w:lang w:val="en-US" w:eastAsia="zh-CN"/>
        </w:rPr>
        <w:t>0</w:t>
      </w:r>
      <w:r>
        <w:rPr>
          <w:rFonts w:hint="eastAsia" w:ascii="仿宋" w:hAnsi="仿宋" w:eastAsia="仿宋" w:cs="仿宋"/>
          <w:sz w:val="32"/>
          <w:szCs w:val="32"/>
        </w:rPr>
        <w:t>万元，</w:t>
      </w:r>
      <w:r>
        <w:rPr>
          <w:rFonts w:hint="eastAsia" w:ascii="仿宋" w:hAnsi="仿宋" w:eastAsia="仿宋" w:cs="仿宋"/>
          <w:sz w:val="32"/>
          <w:szCs w:val="32"/>
          <w:lang w:eastAsia="zh-CN"/>
        </w:rPr>
        <w:t>增长</w:t>
      </w:r>
      <w:r>
        <w:rPr>
          <w:rFonts w:hint="eastAsia" w:ascii="仿宋" w:hAnsi="仿宋" w:eastAsia="仿宋" w:cs="仿宋"/>
          <w:sz w:val="32"/>
          <w:szCs w:val="32"/>
          <w:lang w:val="en-US" w:eastAsia="zh-CN"/>
        </w:rPr>
        <w:t>0</w:t>
      </w:r>
      <w:r>
        <w:rPr>
          <w:rFonts w:hint="eastAsia" w:ascii="仿宋" w:hAnsi="仿宋" w:eastAsia="仿宋" w:cs="仿宋"/>
          <w:sz w:val="32"/>
          <w:szCs w:val="32"/>
        </w:rPr>
        <w:t>%,主要是</w:t>
      </w:r>
      <w:r>
        <w:rPr>
          <w:rFonts w:hint="eastAsia" w:ascii="仿宋" w:hAnsi="仿宋" w:eastAsia="仿宋" w:cs="仿宋"/>
          <w:sz w:val="32"/>
          <w:szCs w:val="32"/>
          <w:lang w:eastAsia="zh-CN"/>
        </w:rPr>
        <w:t>未发生公务用车购置及运行维护费</w:t>
      </w:r>
      <w:r>
        <w:rPr>
          <w:rFonts w:hint="eastAsia" w:ascii="仿宋" w:hAnsi="仿宋" w:eastAsia="仿宋" w:cs="仿宋"/>
          <w:sz w:val="32"/>
          <w:szCs w:val="32"/>
        </w:rPr>
        <w:t>。</w:t>
      </w:r>
      <w:r>
        <w:rPr>
          <w:rFonts w:hint="eastAsia" w:ascii="仿宋" w:hAnsi="仿宋" w:eastAsia="仿宋" w:cs="仿宋"/>
          <w:b w:val="0"/>
          <w:bCs w:val="0"/>
          <w:sz w:val="32"/>
          <w:szCs w:val="32"/>
          <w:lang w:eastAsia="zh-CN"/>
        </w:rPr>
        <w:t>其中</w:t>
      </w:r>
      <w:r>
        <w:rPr>
          <w:rFonts w:hint="eastAsia" w:ascii="仿宋" w:hAnsi="仿宋" w:eastAsia="仿宋" w:cs="仿宋"/>
          <w:sz w:val="32"/>
          <w:szCs w:val="32"/>
          <w:lang w:eastAsia="zh-CN"/>
        </w:rPr>
        <w:t>：</w:t>
      </w:r>
    </w:p>
    <w:p>
      <w:pPr>
        <w:adjustRightInd w:val="0"/>
        <w:snapToGrid w:val="0"/>
        <w:spacing w:line="580" w:lineRule="exact"/>
        <w:ind w:firstLine="643" w:firstLineChars="200"/>
        <w:rPr>
          <w:rFonts w:hint="eastAsia" w:ascii="仿宋" w:hAnsi="仿宋" w:eastAsia="仿宋" w:cs="仿宋"/>
          <w:color w:val="auto"/>
          <w:kern w:val="0"/>
          <w:sz w:val="32"/>
          <w:szCs w:val="32"/>
          <w:highlight w:val="yellow"/>
          <w:lang w:val="en-US" w:eastAsia="zh-CN" w:bidi="ar-SA"/>
        </w:rPr>
      </w:pPr>
      <w:r>
        <w:rPr>
          <w:rFonts w:hint="default" w:ascii="Times New Roman" w:hAnsi="Times New Roman" w:eastAsia="仿宋_GB2312" w:cs="Times New Roman"/>
          <w:b/>
          <w:sz w:val="32"/>
          <w:szCs w:val="32"/>
        </w:rPr>
        <w:t>公务用车购置费支出</w:t>
      </w:r>
      <w:r>
        <w:rPr>
          <w:rFonts w:hint="eastAsia" w:ascii="Times New Roman" w:hAnsi="Times New Roman" w:eastAsia="楷体_GB2312" w:cs="Times New Roman"/>
          <w:b/>
          <w:bCs/>
          <w:sz w:val="32"/>
          <w:szCs w:val="32"/>
          <w:lang w:val="en-US" w:eastAsia="zh-CN"/>
        </w:rPr>
        <w:t>0</w:t>
      </w:r>
      <w:r>
        <w:rPr>
          <w:rFonts w:hint="default" w:ascii="Times New Roman" w:hAnsi="Times New Roman" w:eastAsia="楷体_GB2312" w:cs="Times New Roman"/>
          <w:b/>
          <w:bCs/>
          <w:sz w:val="32"/>
          <w:szCs w:val="32"/>
        </w:rPr>
        <w:t>万元</w:t>
      </w:r>
      <w:r>
        <w:rPr>
          <w:rFonts w:hint="default" w:ascii="Times New Roman" w:hAnsi="Times New Roman" w:eastAsia="仿宋_GB2312" w:cs="Times New Roman"/>
          <w:b/>
          <w:sz w:val="32"/>
          <w:szCs w:val="32"/>
        </w:rPr>
        <w:t>：</w:t>
      </w:r>
      <w:r>
        <w:rPr>
          <w:rFonts w:hint="eastAsia" w:ascii="仿宋" w:hAnsi="仿宋" w:eastAsia="仿宋" w:cs="仿宋"/>
          <w:sz w:val="32"/>
          <w:szCs w:val="32"/>
        </w:rPr>
        <w:t>本单位202</w:t>
      </w:r>
      <w:r>
        <w:rPr>
          <w:rFonts w:hint="eastAsia" w:ascii="仿宋" w:hAnsi="仿宋" w:eastAsia="仿宋" w:cs="仿宋"/>
          <w:sz w:val="32"/>
          <w:szCs w:val="32"/>
          <w:lang w:val="en-US" w:eastAsia="zh-CN"/>
        </w:rPr>
        <w:t>3</w:t>
      </w:r>
      <w:r>
        <w:rPr>
          <w:rFonts w:hint="eastAsia" w:ascii="仿宋" w:hAnsi="仿宋" w:eastAsia="仿宋" w:cs="仿宋"/>
          <w:sz w:val="32"/>
          <w:szCs w:val="32"/>
        </w:rPr>
        <w:t>年度公务用车购置量0 辆，发生“公务用车购置”经费支出0万元。公务用车购置费支出较预算</w:t>
      </w:r>
      <w:r>
        <w:rPr>
          <w:rFonts w:hint="eastAsia" w:ascii="仿宋" w:hAnsi="仿宋" w:eastAsia="仿宋" w:cs="仿宋"/>
          <w:sz w:val="32"/>
          <w:szCs w:val="32"/>
          <w:lang w:eastAsia="zh-CN"/>
        </w:rPr>
        <w:t>增加</w:t>
      </w:r>
      <w:r>
        <w:rPr>
          <w:rFonts w:hint="eastAsia" w:ascii="仿宋" w:hAnsi="仿宋" w:eastAsia="仿宋" w:cs="仿宋"/>
          <w:sz w:val="32"/>
          <w:szCs w:val="32"/>
        </w:rPr>
        <w:t>0万元，</w:t>
      </w:r>
      <w:r>
        <w:rPr>
          <w:rFonts w:hint="eastAsia" w:ascii="仿宋" w:hAnsi="仿宋" w:eastAsia="仿宋" w:cs="仿宋"/>
          <w:sz w:val="32"/>
          <w:szCs w:val="32"/>
          <w:lang w:eastAsia="zh-CN"/>
        </w:rPr>
        <w:t>增长</w:t>
      </w:r>
      <w:r>
        <w:rPr>
          <w:rFonts w:hint="eastAsia" w:ascii="仿宋" w:hAnsi="仿宋" w:eastAsia="仿宋" w:cs="仿宋"/>
          <w:sz w:val="32"/>
          <w:szCs w:val="32"/>
          <w:lang w:val="en-US" w:eastAsia="zh-CN"/>
        </w:rPr>
        <w:t>0</w:t>
      </w:r>
      <w:r>
        <w:rPr>
          <w:rFonts w:hint="eastAsia" w:ascii="仿宋" w:hAnsi="仿宋" w:eastAsia="仿宋" w:cs="仿宋"/>
          <w:sz w:val="32"/>
          <w:szCs w:val="32"/>
        </w:rPr>
        <w:t>%,主要是</w:t>
      </w:r>
      <w:r>
        <w:rPr>
          <w:rFonts w:hint="eastAsia" w:ascii="仿宋" w:hAnsi="仿宋" w:eastAsia="仿宋" w:cs="仿宋"/>
          <w:sz w:val="32"/>
          <w:szCs w:val="32"/>
          <w:lang w:eastAsia="zh-CN"/>
        </w:rPr>
        <w:t>未发生公务用车购置费支出；</w:t>
      </w:r>
      <w:r>
        <w:rPr>
          <w:rFonts w:hint="eastAsia" w:ascii="仿宋" w:hAnsi="仿宋" w:eastAsia="仿宋" w:cs="仿宋"/>
          <w:sz w:val="32"/>
          <w:szCs w:val="32"/>
        </w:rPr>
        <w:t>较上年</w:t>
      </w:r>
      <w:r>
        <w:rPr>
          <w:rFonts w:hint="eastAsia" w:ascii="仿宋" w:hAnsi="仿宋" w:eastAsia="仿宋" w:cs="仿宋"/>
          <w:sz w:val="32"/>
          <w:szCs w:val="32"/>
          <w:lang w:eastAsia="zh-CN"/>
        </w:rPr>
        <w:t>增加</w:t>
      </w:r>
      <w:r>
        <w:rPr>
          <w:rFonts w:hint="eastAsia" w:ascii="仿宋" w:hAnsi="仿宋" w:eastAsia="仿宋" w:cs="仿宋"/>
          <w:sz w:val="32"/>
          <w:szCs w:val="32"/>
          <w:lang w:val="en-US" w:eastAsia="zh-CN"/>
        </w:rPr>
        <w:t>0</w:t>
      </w:r>
      <w:r>
        <w:rPr>
          <w:rFonts w:hint="eastAsia" w:ascii="仿宋" w:hAnsi="仿宋" w:eastAsia="仿宋" w:cs="仿宋"/>
          <w:sz w:val="32"/>
          <w:szCs w:val="32"/>
        </w:rPr>
        <w:t>万元，</w:t>
      </w:r>
      <w:r>
        <w:rPr>
          <w:rFonts w:hint="eastAsia" w:ascii="仿宋" w:hAnsi="仿宋" w:eastAsia="仿宋" w:cs="仿宋"/>
          <w:sz w:val="32"/>
          <w:szCs w:val="32"/>
          <w:lang w:eastAsia="zh-CN"/>
        </w:rPr>
        <w:t>增长</w:t>
      </w:r>
      <w:r>
        <w:rPr>
          <w:rFonts w:hint="eastAsia" w:ascii="仿宋" w:hAnsi="仿宋" w:eastAsia="仿宋" w:cs="仿宋"/>
          <w:sz w:val="32"/>
          <w:szCs w:val="32"/>
        </w:rPr>
        <w:t>0%,主要是</w:t>
      </w:r>
      <w:r>
        <w:rPr>
          <w:rFonts w:hint="eastAsia" w:ascii="仿宋" w:hAnsi="仿宋" w:eastAsia="仿宋" w:cs="仿宋"/>
          <w:sz w:val="32"/>
          <w:szCs w:val="32"/>
          <w:lang w:eastAsia="zh-CN"/>
        </w:rPr>
        <w:t>未发生公务用车购置费支出</w:t>
      </w:r>
      <w:r>
        <w:rPr>
          <w:rFonts w:hint="eastAsia" w:ascii="仿宋" w:hAnsi="仿宋" w:eastAsia="仿宋" w:cs="仿宋"/>
          <w:sz w:val="32"/>
          <w:szCs w:val="32"/>
        </w:rPr>
        <w:t>。</w:t>
      </w:r>
    </w:p>
    <w:p>
      <w:pPr>
        <w:keepNext w:val="0"/>
        <w:keepLines w:val="0"/>
        <w:pageBreakBefore w:val="0"/>
        <w:widowControl w:val="0"/>
        <w:kinsoku/>
        <w:wordWrap/>
        <w:overflowPunct/>
        <w:topLinePunct w:val="0"/>
        <w:autoSpaceDE/>
        <w:autoSpaceDN/>
        <w:bidi w:val="0"/>
        <w:adjustRightInd w:val="0"/>
        <w:snapToGrid w:val="0"/>
        <w:spacing w:line="580" w:lineRule="exact"/>
        <w:ind w:firstLine="643" w:firstLineChars="200"/>
        <w:jc w:val="left"/>
        <w:textAlignment w:val="auto"/>
        <w:rPr>
          <w:rFonts w:hint="eastAsia" w:ascii="仿宋" w:hAnsi="仿宋" w:eastAsia="仿宋" w:cs="仿宋"/>
          <w:sz w:val="32"/>
          <w:szCs w:val="32"/>
        </w:rPr>
      </w:pPr>
      <w:r>
        <w:rPr>
          <w:rFonts w:hint="default" w:ascii="Times New Roman" w:hAnsi="Times New Roman" w:eastAsia="仿宋_GB2312" w:cs="Times New Roman"/>
          <w:b/>
          <w:sz w:val="32"/>
          <w:szCs w:val="32"/>
        </w:rPr>
        <w:t>公务用车运行维护费支出</w:t>
      </w:r>
      <w:r>
        <w:rPr>
          <w:rFonts w:hint="eastAsia" w:ascii="Times New Roman" w:hAnsi="Times New Roman" w:eastAsia="仿宋_GB2312" w:cs="Times New Roman"/>
          <w:b/>
          <w:sz w:val="32"/>
          <w:szCs w:val="32"/>
          <w:lang w:val="en-US" w:eastAsia="zh-CN"/>
        </w:rPr>
        <w:t>0</w:t>
      </w:r>
      <w:r>
        <w:rPr>
          <w:rFonts w:hint="default" w:ascii="Times New Roman" w:hAnsi="Times New Roman" w:eastAsia="楷体_GB2312" w:cs="Times New Roman"/>
          <w:b/>
          <w:bCs/>
          <w:sz w:val="32"/>
          <w:szCs w:val="32"/>
        </w:rPr>
        <w:t>万元</w:t>
      </w:r>
      <w:r>
        <w:rPr>
          <w:rFonts w:hint="default" w:ascii="Times New Roman" w:hAnsi="Times New Roman" w:eastAsia="仿宋_GB2312" w:cs="Times New Roman"/>
          <w:b/>
          <w:sz w:val="32"/>
          <w:szCs w:val="32"/>
        </w:rPr>
        <w:t>：</w:t>
      </w:r>
      <w:r>
        <w:rPr>
          <w:rFonts w:hint="eastAsia" w:ascii="仿宋" w:hAnsi="仿宋" w:eastAsia="仿宋" w:cs="仿宋"/>
          <w:sz w:val="32"/>
          <w:szCs w:val="32"/>
        </w:rPr>
        <w:t>本单位202</w:t>
      </w:r>
      <w:r>
        <w:rPr>
          <w:rFonts w:hint="eastAsia" w:ascii="仿宋" w:hAnsi="仿宋" w:eastAsia="仿宋" w:cs="仿宋"/>
          <w:sz w:val="32"/>
          <w:szCs w:val="32"/>
          <w:lang w:val="en-US" w:eastAsia="zh-CN"/>
        </w:rPr>
        <w:t>3</w:t>
      </w:r>
      <w:r>
        <w:rPr>
          <w:rFonts w:hint="eastAsia" w:ascii="仿宋" w:hAnsi="仿宋" w:eastAsia="仿宋" w:cs="仿宋"/>
          <w:sz w:val="32"/>
          <w:szCs w:val="32"/>
        </w:rPr>
        <w:t>年度单位公务用车保有量0辆。公车运行维护费支出较预算</w:t>
      </w:r>
      <w:r>
        <w:rPr>
          <w:rFonts w:hint="eastAsia" w:ascii="仿宋" w:hAnsi="仿宋" w:eastAsia="仿宋" w:cs="仿宋"/>
          <w:sz w:val="32"/>
          <w:szCs w:val="32"/>
          <w:lang w:eastAsia="zh-CN"/>
        </w:rPr>
        <w:t>增加</w:t>
      </w:r>
      <w:r>
        <w:rPr>
          <w:rFonts w:hint="eastAsia" w:ascii="仿宋" w:hAnsi="仿宋" w:eastAsia="仿宋" w:cs="仿宋"/>
          <w:sz w:val="32"/>
          <w:szCs w:val="32"/>
          <w:lang w:val="en-US" w:eastAsia="zh-CN"/>
        </w:rPr>
        <w:t>0</w:t>
      </w:r>
      <w:r>
        <w:rPr>
          <w:rFonts w:hint="eastAsia" w:ascii="仿宋" w:hAnsi="仿宋" w:eastAsia="仿宋" w:cs="仿宋"/>
          <w:sz w:val="32"/>
          <w:szCs w:val="32"/>
        </w:rPr>
        <w:t>万元，</w:t>
      </w:r>
      <w:r>
        <w:rPr>
          <w:rFonts w:hint="eastAsia" w:ascii="仿宋" w:hAnsi="仿宋" w:eastAsia="仿宋" w:cs="仿宋"/>
          <w:sz w:val="32"/>
          <w:szCs w:val="32"/>
          <w:lang w:eastAsia="zh-CN"/>
        </w:rPr>
        <w:t>增长</w:t>
      </w:r>
      <w:r>
        <w:rPr>
          <w:rFonts w:hint="eastAsia" w:ascii="仿宋" w:hAnsi="仿宋" w:eastAsia="仿宋" w:cs="仿宋"/>
          <w:sz w:val="32"/>
          <w:szCs w:val="32"/>
          <w:lang w:val="en-US" w:eastAsia="zh-CN"/>
        </w:rPr>
        <w:t>0</w:t>
      </w:r>
      <w:r>
        <w:rPr>
          <w:rFonts w:hint="eastAsia" w:ascii="仿宋" w:hAnsi="仿宋" w:eastAsia="仿宋" w:cs="仿宋"/>
          <w:sz w:val="32"/>
          <w:szCs w:val="32"/>
        </w:rPr>
        <w:t>%,主要是</w:t>
      </w:r>
      <w:r>
        <w:rPr>
          <w:rFonts w:hint="eastAsia" w:ascii="仿宋" w:hAnsi="仿宋" w:eastAsia="仿宋" w:cs="仿宋"/>
          <w:sz w:val="32"/>
          <w:szCs w:val="32"/>
          <w:lang w:eastAsia="zh-CN"/>
        </w:rPr>
        <w:t>未发生公务用车维护费支出；</w:t>
      </w:r>
      <w:r>
        <w:rPr>
          <w:rFonts w:hint="eastAsia" w:ascii="仿宋" w:hAnsi="仿宋" w:eastAsia="仿宋" w:cs="仿宋"/>
          <w:sz w:val="32"/>
          <w:szCs w:val="32"/>
        </w:rPr>
        <w:t>较上年</w:t>
      </w:r>
      <w:r>
        <w:rPr>
          <w:rFonts w:hint="eastAsia" w:ascii="仿宋" w:hAnsi="仿宋" w:eastAsia="仿宋" w:cs="仿宋"/>
          <w:sz w:val="32"/>
          <w:szCs w:val="32"/>
          <w:lang w:eastAsia="zh-CN"/>
        </w:rPr>
        <w:t>增加</w:t>
      </w:r>
      <w:r>
        <w:rPr>
          <w:rFonts w:hint="eastAsia" w:ascii="仿宋" w:hAnsi="仿宋" w:eastAsia="仿宋" w:cs="仿宋"/>
          <w:sz w:val="32"/>
          <w:szCs w:val="32"/>
          <w:lang w:val="en-US" w:eastAsia="zh-CN"/>
        </w:rPr>
        <w:t>0</w:t>
      </w:r>
      <w:r>
        <w:rPr>
          <w:rFonts w:hint="eastAsia" w:ascii="仿宋" w:hAnsi="仿宋" w:eastAsia="仿宋" w:cs="仿宋"/>
          <w:sz w:val="32"/>
          <w:szCs w:val="32"/>
        </w:rPr>
        <w:t>万元，</w:t>
      </w:r>
      <w:r>
        <w:rPr>
          <w:rFonts w:hint="eastAsia" w:ascii="仿宋" w:hAnsi="仿宋" w:eastAsia="仿宋" w:cs="仿宋"/>
          <w:sz w:val="32"/>
          <w:szCs w:val="32"/>
          <w:lang w:eastAsia="zh-CN"/>
        </w:rPr>
        <w:t>增长</w:t>
      </w:r>
      <w:r>
        <w:rPr>
          <w:rFonts w:hint="eastAsia" w:ascii="仿宋" w:hAnsi="仿宋" w:eastAsia="仿宋" w:cs="仿宋"/>
          <w:sz w:val="32"/>
          <w:szCs w:val="32"/>
        </w:rPr>
        <w:t>0%，主要是</w:t>
      </w:r>
      <w:r>
        <w:rPr>
          <w:rFonts w:hint="eastAsia" w:ascii="仿宋" w:hAnsi="仿宋" w:eastAsia="仿宋" w:cs="仿宋"/>
          <w:sz w:val="32"/>
          <w:szCs w:val="32"/>
          <w:lang w:eastAsia="zh-CN"/>
        </w:rPr>
        <w:t>未发生公务用车维护费支出。与</w:t>
      </w:r>
      <w:r>
        <w:rPr>
          <w:rFonts w:hint="eastAsia" w:ascii="仿宋" w:hAnsi="仿宋" w:eastAsia="仿宋" w:cs="仿宋"/>
          <w:sz w:val="32"/>
          <w:szCs w:val="32"/>
          <w:lang w:val="en-US" w:eastAsia="zh-CN"/>
        </w:rPr>
        <w:t>2022年度决算支出持平</w:t>
      </w:r>
      <w:r>
        <w:rPr>
          <w:rFonts w:hint="eastAsia" w:ascii="仿宋" w:hAnsi="仿宋" w:eastAsia="仿宋" w:cs="仿宋"/>
          <w:sz w:val="32"/>
          <w:szCs w:val="32"/>
        </w:rPr>
        <w:t>。</w:t>
      </w:r>
    </w:p>
    <w:p>
      <w:pPr>
        <w:keepNext w:val="0"/>
        <w:keepLines w:val="0"/>
        <w:pageBreakBefore w:val="0"/>
        <w:widowControl w:val="0"/>
        <w:kinsoku/>
        <w:wordWrap/>
        <w:overflowPunct/>
        <w:topLinePunct w:val="0"/>
        <w:autoSpaceDE/>
        <w:autoSpaceDN/>
        <w:bidi w:val="0"/>
        <w:adjustRightInd w:val="0"/>
        <w:snapToGrid w:val="0"/>
        <w:spacing w:line="580" w:lineRule="exact"/>
        <w:ind w:firstLine="643" w:firstLineChars="200"/>
        <w:jc w:val="left"/>
        <w:textAlignment w:val="auto"/>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3.公务接待费。</w:t>
      </w:r>
      <w:r>
        <w:rPr>
          <w:rFonts w:hint="eastAsia" w:ascii="仿宋" w:hAnsi="仿宋" w:eastAsia="仿宋" w:cs="仿宋"/>
          <w:sz w:val="32"/>
          <w:szCs w:val="32"/>
        </w:rPr>
        <w:t>本单位 202</w:t>
      </w:r>
      <w:r>
        <w:rPr>
          <w:rFonts w:hint="eastAsia" w:ascii="仿宋" w:hAnsi="仿宋" w:eastAsia="仿宋" w:cs="仿宋"/>
          <w:sz w:val="32"/>
          <w:szCs w:val="32"/>
          <w:lang w:val="en-US" w:eastAsia="zh-CN"/>
        </w:rPr>
        <w:t>3</w:t>
      </w:r>
      <w:r>
        <w:rPr>
          <w:rFonts w:hint="eastAsia" w:ascii="仿宋" w:hAnsi="仿宋" w:eastAsia="仿宋" w:cs="仿宋"/>
          <w:sz w:val="32"/>
          <w:szCs w:val="32"/>
        </w:rPr>
        <w:t>年度公务接待费支出预算为 0万元，支出决算0万元，完成预算的</w:t>
      </w:r>
      <w:r>
        <w:rPr>
          <w:rFonts w:hint="eastAsia" w:ascii="仿宋" w:hAnsi="仿宋" w:eastAsia="仿宋" w:cs="仿宋"/>
          <w:sz w:val="32"/>
          <w:szCs w:val="32"/>
          <w:lang w:val="en-US" w:eastAsia="zh-CN"/>
        </w:rPr>
        <w:t>100</w:t>
      </w:r>
      <w:r>
        <w:rPr>
          <w:rFonts w:hint="eastAsia" w:ascii="仿宋" w:hAnsi="仿宋" w:eastAsia="仿宋" w:cs="仿宋"/>
          <w:sz w:val="32"/>
          <w:szCs w:val="32"/>
        </w:rPr>
        <w:t>%</w:t>
      </w:r>
      <w:r>
        <w:rPr>
          <w:rFonts w:hint="eastAsia" w:ascii="仿宋" w:hAnsi="仿宋" w:eastAsia="仿宋" w:cs="仿宋"/>
          <w:sz w:val="32"/>
          <w:szCs w:val="32"/>
          <w:lang w:eastAsia="zh-CN"/>
        </w:rPr>
        <w:t>。本年度共</w:t>
      </w:r>
      <w:r>
        <w:rPr>
          <w:rFonts w:hint="eastAsia" w:ascii="仿宋" w:hAnsi="仿宋" w:eastAsia="仿宋" w:cs="仿宋"/>
          <w:sz w:val="32"/>
          <w:szCs w:val="32"/>
        </w:rPr>
        <w:t>发生公务接待0批次、</w:t>
      </w:r>
      <w:r>
        <w:rPr>
          <w:rFonts w:hint="eastAsia" w:ascii="仿宋" w:hAnsi="仿宋" w:eastAsia="仿宋" w:cs="仿宋"/>
          <w:sz w:val="32"/>
          <w:szCs w:val="32"/>
          <w:lang w:val="en-US" w:eastAsia="zh-CN"/>
        </w:rPr>
        <w:t>0</w:t>
      </w:r>
      <w:r>
        <w:rPr>
          <w:rFonts w:hint="eastAsia" w:ascii="仿宋" w:hAnsi="仿宋" w:eastAsia="仿宋" w:cs="仿宋"/>
          <w:sz w:val="32"/>
          <w:szCs w:val="32"/>
        </w:rPr>
        <w:t>人次。公务接待费支出较预算</w:t>
      </w:r>
      <w:r>
        <w:rPr>
          <w:rFonts w:hint="eastAsia" w:ascii="仿宋" w:hAnsi="仿宋" w:eastAsia="仿宋" w:cs="仿宋"/>
          <w:sz w:val="32"/>
          <w:szCs w:val="32"/>
          <w:lang w:eastAsia="zh-CN"/>
        </w:rPr>
        <w:t>增加</w:t>
      </w:r>
      <w:r>
        <w:rPr>
          <w:rFonts w:hint="eastAsia" w:ascii="仿宋" w:hAnsi="仿宋" w:eastAsia="仿宋" w:cs="仿宋"/>
          <w:sz w:val="32"/>
          <w:szCs w:val="32"/>
          <w:lang w:val="en-US" w:eastAsia="zh-CN"/>
        </w:rPr>
        <w:t>0</w:t>
      </w:r>
      <w:r>
        <w:rPr>
          <w:rFonts w:hint="eastAsia" w:ascii="仿宋" w:hAnsi="仿宋" w:eastAsia="仿宋" w:cs="仿宋"/>
          <w:sz w:val="32"/>
          <w:szCs w:val="32"/>
        </w:rPr>
        <w:t>万元，</w:t>
      </w:r>
      <w:r>
        <w:rPr>
          <w:rFonts w:hint="eastAsia" w:ascii="仿宋" w:hAnsi="仿宋" w:eastAsia="仿宋" w:cs="仿宋"/>
          <w:sz w:val="32"/>
          <w:szCs w:val="32"/>
          <w:lang w:eastAsia="zh-CN"/>
        </w:rPr>
        <w:t>增长</w:t>
      </w:r>
      <w:r>
        <w:rPr>
          <w:rFonts w:hint="eastAsia" w:ascii="仿宋" w:hAnsi="仿宋" w:eastAsia="仿宋" w:cs="仿宋"/>
          <w:sz w:val="32"/>
          <w:szCs w:val="32"/>
        </w:rPr>
        <w:t>0%,主要</w:t>
      </w:r>
      <w:r>
        <w:rPr>
          <w:rFonts w:hint="eastAsia" w:ascii="仿宋" w:hAnsi="仿宋" w:eastAsia="仿宋" w:cs="仿宋"/>
          <w:sz w:val="32"/>
          <w:szCs w:val="32"/>
          <w:lang w:eastAsia="zh-CN"/>
        </w:rPr>
        <w:t>是未发生公务接待费支出</w:t>
      </w:r>
      <w:r>
        <w:rPr>
          <w:rFonts w:hint="eastAsia" w:ascii="仿宋" w:hAnsi="仿宋" w:eastAsia="仿宋" w:cs="仿宋"/>
          <w:sz w:val="32"/>
          <w:szCs w:val="32"/>
        </w:rPr>
        <w:t>；较上年度</w:t>
      </w:r>
      <w:r>
        <w:rPr>
          <w:rFonts w:hint="eastAsia" w:ascii="仿宋" w:hAnsi="仿宋" w:eastAsia="仿宋" w:cs="仿宋"/>
          <w:sz w:val="32"/>
          <w:szCs w:val="32"/>
          <w:lang w:eastAsia="zh-CN"/>
        </w:rPr>
        <w:t>增加</w:t>
      </w:r>
      <w:r>
        <w:rPr>
          <w:rFonts w:hint="eastAsia" w:ascii="仿宋" w:hAnsi="仿宋" w:eastAsia="仿宋" w:cs="仿宋"/>
          <w:sz w:val="32"/>
          <w:szCs w:val="32"/>
          <w:lang w:val="en-US" w:eastAsia="zh-CN"/>
        </w:rPr>
        <w:t>0</w:t>
      </w:r>
      <w:r>
        <w:rPr>
          <w:rFonts w:hint="eastAsia" w:ascii="仿宋" w:hAnsi="仿宋" w:eastAsia="仿宋" w:cs="仿宋"/>
          <w:sz w:val="32"/>
          <w:szCs w:val="32"/>
        </w:rPr>
        <w:t>万元，</w:t>
      </w:r>
      <w:r>
        <w:rPr>
          <w:rFonts w:hint="eastAsia" w:ascii="仿宋" w:hAnsi="仿宋" w:eastAsia="仿宋" w:cs="仿宋"/>
          <w:sz w:val="32"/>
          <w:szCs w:val="32"/>
          <w:lang w:eastAsia="zh-CN"/>
        </w:rPr>
        <w:t>增长</w:t>
      </w:r>
      <w:r>
        <w:rPr>
          <w:rFonts w:hint="eastAsia" w:ascii="仿宋" w:hAnsi="仿宋" w:eastAsia="仿宋" w:cs="仿宋"/>
          <w:sz w:val="32"/>
          <w:szCs w:val="32"/>
        </w:rPr>
        <w:t>0%,主要是</w:t>
      </w:r>
      <w:r>
        <w:rPr>
          <w:rFonts w:hint="eastAsia" w:ascii="仿宋" w:hAnsi="仿宋" w:eastAsia="仿宋" w:cs="仿宋"/>
          <w:sz w:val="32"/>
          <w:szCs w:val="32"/>
          <w:lang w:eastAsia="zh-CN"/>
        </w:rPr>
        <w:t>未发生公务接待费支出。与</w:t>
      </w:r>
      <w:r>
        <w:rPr>
          <w:rFonts w:hint="eastAsia" w:ascii="仿宋" w:hAnsi="仿宋" w:eastAsia="仿宋" w:cs="仿宋"/>
          <w:sz w:val="32"/>
          <w:szCs w:val="32"/>
          <w:lang w:val="en-US" w:eastAsia="zh-CN"/>
        </w:rPr>
        <w:t>2022年度决算支出持平。</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60" w:firstLineChars="200"/>
        <w:jc w:val="both"/>
        <w:outlineLvl w:val="1"/>
        <w:rPr>
          <w:rFonts w:hint="default" w:ascii="Times New Roman" w:hAnsi="Times New Roman" w:eastAsia="黑体" w:cs="Times New Roman"/>
          <w:i w:val="0"/>
          <w:iCs w:val="0"/>
          <w:caps w:val="0"/>
          <w:color w:val="333333"/>
          <w:spacing w:val="0"/>
          <w:sz w:val="33"/>
          <w:szCs w:val="33"/>
          <w:highlight w:val="none"/>
          <w:shd w:val="clear" w:fill="FFFFFF"/>
          <w:lang w:eastAsia="zh-CN"/>
        </w:rPr>
      </w:pPr>
      <w:r>
        <w:rPr>
          <w:rFonts w:hint="default" w:ascii="Times New Roman" w:hAnsi="Times New Roman" w:eastAsia="黑体" w:cs="Times New Roman"/>
          <w:i w:val="0"/>
          <w:iCs w:val="0"/>
          <w:caps w:val="0"/>
          <w:color w:val="333333"/>
          <w:spacing w:val="0"/>
          <w:sz w:val="33"/>
          <w:szCs w:val="33"/>
          <w:highlight w:val="none"/>
          <w:shd w:val="clear" w:fill="FFFFFF"/>
        </w:rPr>
        <w:t>六、</w:t>
      </w:r>
      <w:r>
        <w:rPr>
          <w:rFonts w:hint="default" w:ascii="Times New Roman" w:hAnsi="Times New Roman" w:eastAsia="黑体" w:cs="Times New Roman"/>
          <w:sz w:val="32"/>
          <w:szCs w:val="32"/>
        </w:rPr>
        <w:t>机关运行经费支出说明</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0" w:firstLineChars="200"/>
        <w:jc w:val="both"/>
        <w:rPr>
          <w:rFonts w:hint="default" w:ascii="Times New Roman" w:hAnsi="Times New Roman" w:eastAsia="仿宋" w:cs="Times New Roman"/>
          <w:color w:val="auto"/>
          <w:kern w:val="0"/>
          <w:sz w:val="32"/>
          <w:szCs w:val="32"/>
          <w:highlight w:val="yellow"/>
          <w:lang w:val="en-US" w:eastAsia="zh-CN" w:bidi="ar-SA"/>
        </w:rPr>
      </w:pPr>
      <w:r>
        <w:rPr>
          <w:rFonts w:hint="eastAsia" w:ascii="仿宋" w:hAnsi="仿宋" w:eastAsia="仿宋" w:cs="仿宋"/>
          <w:sz w:val="32"/>
          <w:szCs w:val="32"/>
        </w:rPr>
        <w:t>本单位</w:t>
      </w:r>
      <w:r>
        <w:rPr>
          <w:rFonts w:hint="eastAsia" w:ascii="仿宋" w:hAnsi="仿宋" w:eastAsia="仿宋" w:cs="仿宋"/>
          <w:sz w:val="32"/>
          <w:szCs w:val="32"/>
          <w:lang w:eastAsia="zh-CN"/>
        </w:rPr>
        <w:t>为财政补助事业单位，无机关运行费用，较</w:t>
      </w:r>
      <w:r>
        <w:rPr>
          <w:rFonts w:hint="eastAsia" w:ascii="仿宋" w:hAnsi="仿宋" w:eastAsia="仿宋" w:cs="仿宋"/>
          <w:sz w:val="32"/>
          <w:szCs w:val="32"/>
          <w:lang w:val="en-US" w:eastAsia="zh-CN"/>
        </w:rPr>
        <w:t>2022年度无变化。</w:t>
      </w:r>
    </w:p>
    <w:p>
      <w:pPr>
        <w:adjustRightInd w:val="0"/>
        <w:snapToGrid w:val="0"/>
        <w:spacing w:line="580" w:lineRule="exact"/>
        <w:ind w:firstLine="660" w:firstLineChars="200"/>
        <w:rPr>
          <w:rFonts w:hint="default" w:ascii="Times New Roman" w:hAnsi="Times New Roman" w:eastAsia="仿宋_GB2312" w:cs="Times New Roman"/>
          <w:sz w:val="32"/>
          <w:szCs w:val="32"/>
          <w:highlight w:val="yellow"/>
        </w:rPr>
      </w:pPr>
      <w:r>
        <w:rPr>
          <w:rFonts w:hint="default" w:ascii="Times New Roman" w:hAnsi="Times New Roman" w:eastAsia="黑体" w:cs="Times New Roman"/>
          <w:i w:val="0"/>
          <w:iCs w:val="0"/>
          <w:caps w:val="0"/>
          <w:color w:val="333333"/>
          <w:spacing w:val="0"/>
          <w:sz w:val="33"/>
          <w:szCs w:val="33"/>
          <w:highlight w:val="none"/>
          <w:shd w:val="clear" w:fill="FFFFFF"/>
        </w:rPr>
        <w:t>七、</w:t>
      </w:r>
      <w:r>
        <w:rPr>
          <w:rFonts w:hint="default" w:ascii="Times New Roman" w:hAnsi="Times New Roman" w:eastAsia="黑体" w:cs="Times New Roman"/>
          <w:sz w:val="32"/>
          <w:szCs w:val="32"/>
        </w:rPr>
        <w:t>政府采购支出说明</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eastAsia" w:ascii="仿宋" w:hAnsi="仿宋" w:eastAsia="仿宋" w:cs="仿宋"/>
          <w:sz w:val="32"/>
          <w:szCs w:val="32"/>
          <w:highlight w:val="yellow"/>
        </w:rPr>
      </w:pPr>
      <w:r>
        <w:rPr>
          <w:rFonts w:hint="default" w:ascii="Times New Roman" w:hAnsi="Times New Roman" w:eastAsia="Arial" w:cs="Times New Roman"/>
          <w:i w:val="0"/>
          <w:iCs w:val="0"/>
          <w:caps w:val="0"/>
          <w:color w:val="333333"/>
          <w:spacing w:val="0"/>
          <w:sz w:val="19"/>
          <w:szCs w:val="19"/>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t xml:space="preserve"> </w:t>
      </w:r>
      <w:r>
        <w:rPr>
          <w:rFonts w:hint="default" w:ascii="Times New Roman" w:hAnsi="Times New Roman" w:eastAsia="仿宋_GB2312" w:cs="Times New Roman"/>
          <w:i w:val="0"/>
          <w:iCs w:val="0"/>
          <w:caps w:val="0"/>
          <w:color w:val="333333"/>
          <w:spacing w:val="0"/>
          <w:sz w:val="33"/>
          <w:szCs w:val="33"/>
          <w:highlight w:val="none"/>
          <w:shd w:val="clear" w:fill="FFFFFF"/>
          <w:lang w:eastAsia="zh-CN"/>
        </w:rPr>
        <w:t xml:space="preserve"> </w:t>
      </w: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年度政府采购支出总额0万元，从采购类型来看，政府采购货物支出0万元、政府采购工程支出0万元、政府采购服务支出0万元。授予中小企业</w:t>
      </w:r>
      <w:r>
        <w:rPr>
          <w:rFonts w:hint="default" w:ascii="Times New Roman" w:hAnsi="Times New Roman" w:eastAsia="仿宋_GB2312" w:cs="Times New Roman"/>
          <w:color w:val="auto"/>
          <w:kern w:val="2"/>
          <w:sz w:val="32"/>
          <w:szCs w:val="32"/>
          <w:lang w:val="en-US" w:eastAsia="zh-CN" w:bidi="ar-SA"/>
        </w:rPr>
        <w:t>合同金额</w:t>
      </w:r>
      <w:r>
        <w:rPr>
          <w:rFonts w:hint="default" w:ascii="Times New Roman" w:hAnsi="Times New Roman" w:eastAsia="仿宋_GB2312" w:cs="Times New Roman"/>
          <w:color w:val="auto"/>
          <w:kern w:val="2"/>
          <w:sz w:val="32"/>
          <w:szCs w:val="32"/>
          <w:lang w:val="zh-CN" w:eastAsia="zh-CN" w:bidi="ar-SA"/>
        </w:rPr>
        <w:t>0万元，占政府采购支出总额的0%，其中授予小微企业合同金额0万元，占政府采购支出总额的0%。</w:t>
      </w:r>
    </w:p>
    <w:p>
      <w:pPr>
        <w:snapToGrid w:val="0"/>
        <w:spacing w:line="580" w:lineRule="exact"/>
        <w:ind w:firstLine="660" w:firstLineChars="200"/>
        <w:jc w:val="left"/>
        <w:rPr>
          <w:rFonts w:hint="default" w:ascii="Times New Roman" w:hAnsi="Times New Roman" w:eastAsia="仿宋_GB2312" w:cs="Times New Roman"/>
          <w:sz w:val="32"/>
          <w:szCs w:val="32"/>
          <w:highlight w:val="yellow"/>
        </w:rPr>
      </w:pPr>
      <w:r>
        <w:rPr>
          <w:rFonts w:hint="default" w:ascii="Times New Roman" w:hAnsi="Times New Roman" w:eastAsia="黑体" w:cs="Times New Roman"/>
          <w:i w:val="0"/>
          <w:iCs w:val="0"/>
          <w:caps w:val="0"/>
          <w:color w:val="333333"/>
          <w:spacing w:val="0"/>
          <w:sz w:val="33"/>
          <w:szCs w:val="33"/>
          <w:highlight w:val="none"/>
          <w:shd w:val="clear" w:fill="FFFFFF"/>
        </w:rPr>
        <w:t>八、</w:t>
      </w:r>
      <w:r>
        <w:rPr>
          <w:rFonts w:hint="default" w:ascii="Times New Roman" w:hAnsi="Times New Roman" w:eastAsia="黑体" w:cs="Times New Roman"/>
          <w:sz w:val="32"/>
          <w:szCs w:val="32"/>
        </w:rPr>
        <w:t>国有资产占用情况说明</w:t>
      </w:r>
      <w:bookmarkStart w:id="0" w:name="_GoBack"/>
      <w:bookmarkEnd w:id="0"/>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t xml:space="preserve">  </w:t>
      </w:r>
      <w:r>
        <w:rPr>
          <w:rFonts w:hint="eastAsia" w:ascii="仿宋" w:hAnsi="仿宋" w:eastAsia="仿宋" w:cs="仿宋"/>
          <w:i w:val="0"/>
          <w:iCs w:val="0"/>
          <w:caps w:val="0"/>
          <w:color w:val="333333"/>
          <w:spacing w:val="0"/>
          <w:sz w:val="32"/>
          <w:szCs w:val="32"/>
          <w:highlight w:val="none"/>
          <w:shd w:val="clear" w:fill="FFFFFF"/>
          <w:lang w:val="en-US" w:eastAsia="zh-CN"/>
        </w:rPr>
        <w:t xml:space="preserve"> </w:t>
      </w:r>
      <w:r>
        <w:rPr>
          <w:rFonts w:hint="default" w:ascii="Times New Roman" w:hAnsi="Times New Roman" w:eastAsia="仿宋_GB2312" w:cs="Times New Roman"/>
          <w:color w:val="auto"/>
          <w:kern w:val="2"/>
          <w:sz w:val="32"/>
          <w:szCs w:val="32"/>
          <w:lang w:val="zh-CN" w:eastAsia="zh-CN" w:bidi="ar-SA"/>
        </w:rPr>
        <w:t>截至202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年12月31日，</w:t>
      </w:r>
      <w:r>
        <w:rPr>
          <w:rFonts w:hint="eastAsia" w:ascii="Times New Roman" w:hAnsi="Times New Roman" w:eastAsia="仿宋_GB2312" w:cs="Times New Roman"/>
          <w:color w:val="auto"/>
          <w:kern w:val="2"/>
          <w:sz w:val="32"/>
          <w:szCs w:val="32"/>
          <w:lang w:val="zh-CN" w:eastAsia="zh-CN" w:bidi="ar-SA"/>
        </w:rPr>
        <w:t>本单位车辆</w:t>
      </w:r>
      <w:r>
        <w:rPr>
          <w:rFonts w:hint="default" w:ascii="Times New Roman" w:hAnsi="Times New Roman" w:eastAsia="仿宋_GB2312" w:cs="Times New Roman"/>
          <w:color w:val="auto"/>
          <w:kern w:val="2"/>
          <w:sz w:val="32"/>
          <w:szCs w:val="32"/>
          <w:lang w:val="zh-CN" w:eastAsia="zh-CN" w:bidi="ar-SA"/>
        </w:rPr>
        <w:t>0</w:t>
      </w:r>
      <w:r>
        <w:rPr>
          <w:rFonts w:hint="eastAsia" w:ascii="Times New Roman" w:hAnsi="Times New Roman" w:eastAsia="仿宋_GB2312" w:cs="Times New Roman"/>
          <w:color w:val="auto"/>
          <w:kern w:val="2"/>
          <w:sz w:val="32"/>
          <w:szCs w:val="32"/>
          <w:lang w:val="zh-CN" w:eastAsia="zh-CN" w:bidi="ar-SA"/>
        </w:rPr>
        <w:t>辆</w:t>
      </w:r>
      <w:r>
        <w:rPr>
          <w:rFonts w:hint="default" w:ascii="Times New Roman" w:hAnsi="Times New Roman" w:eastAsia="仿宋_GB2312" w:cs="Times New Roman"/>
          <w:color w:val="auto"/>
          <w:kern w:val="2"/>
          <w:sz w:val="32"/>
          <w:szCs w:val="32"/>
          <w:lang w:val="zh-CN" w:eastAsia="zh-CN" w:bidi="ar-SA"/>
        </w:rPr>
        <w:t>，比上年增加</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辆，主要是</w:t>
      </w:r>
      <w:r>
        <w:rPr>
          <w:rFonts w:hint="eastAsia" w:ascii="Times New Roman" w:hAnsi="Times New Roman" w:eastAsia="仿宋_GB2312" w:cs="Times New Roman"/>
          <w:color w:val="auto"/>
          <w:kern w:val="2"/>
          <w:sz w:val="32"/>
          <w:szCs w:val="32"/>
          <w:lang w:val="zh-CN" w:eastAsia="zh-CN" w:bidi="ar-SA"/>
        </w:rPr>
        <w:t>我单位无公车</w:t>
      </w:r>
      <w:r>
        <w:rPr>
          <w:rFonts w:hint="default" w:ascii="Times New Roman" w:hAnsi="Times New Roman" w:eastAsia="仿宋_GB2312" w:cs="Times New Roman"/>
          <w:color w:val="auto"/>
          <w:kern w:val="2"/>
          <w:sz w:val="32"/>
          <w:szCs w:val="32"/>
          <w:lang w:val="zh-CN" w:eastAsia="zh-CN" w:bidi="ar-SA"/>
        </w:rPr>
        <w:t>。其中，副部（省）级及以上领导用车本单位共有车辆0辆，主要</w:t>
      </w:r>
      <w:r>
        <w:rPr>
          <w:rFonts w:hint="default" w:ascii="Times New Roman" w:hAnsi="Times New Roman" w:eastAsia="仿宋_GB2312" w:cs="Times New Roman"/>
          <w:color w:val="auto"/>
          <w:kern w:val="2"/>
          <w:sz w:val="32"/>
          <w:szCs w:val="32"/>
          <w:lang w:val="en-US" w:eastAsia="zh-CN" w:bidi="ar-SA"/>
        </w:rPr>
        <w:t>负责人</w:t>
      </w:r>
      <w:r>
        <w:rPr>
          <w:rFonts w:hint="default" w:ascii="Times New Roman" w:hAnsi="Times New Roman" w:eastAsia="仿宋_GB2312" w:cs="Times New Roman"/>
          <w:color w:val="auto"/>
          <w:kern w:val="2"/>
          <w:sz w:val="32"/>
          <w:szCs w:val="32"/>
          <w:lang w:val="zh-CN" w:eastAsia="zh-CN" w:bidi="ar-SA"/>
        </w:rPr>
        <w:t>用车0辆，机要通信用车0辆，应急保障用车0辆，执法执勤用车0辆，特种专业技术用车0辆，离退休干部用车0辆，其他用车0辆，主要是</w:t>
      </w:r>
      <w:r>
        <w:rPr>
          <w:rFonts w:hint="eastAsia" w:ascii="Times New Roman" w:hAnsi="Times New Roman" w:eastAsia="仿宋_GB2312" w:cs="Times New Roman"/>
          <w:color w:val="auto"/>
          <w:kern w:val="2"/>
          <w:sz w:val="32"/>
          <w:szCs w:val="32"/>
          <w:lang w:val="zh-CN" w:eastAsia="zh-CN" w:bidi="ar-SA"/>
        </w:rPr>
        <w:t>我单位无公车</w:t>
      </w:r>
      <w:r>
        <w:rPr>
          <w:rFonts w:hint="default" w:ascii="Times New Roman" w:hAnsi="Times New Roman" w:eastAsia="仿宋_GB2312" w:cs="Times New Roman"/>
          <w:color w:val="auto"/>
          <w:kern w:val="2"/>
          <w:sz w:val="32"/>
          <w:szCs w:val="32"/>
          <w:lang w:val="zh-CN" w:eastAsia="zh-CN" w:bidi="ar-SA"/>
        </w:rPr>
        <w:t>。单位价值100万元（含）以上设备（不含车辆）0台（套）。</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0" w:firstLineChars="200"/>
        <w:jc w:val="both"/>
        <w:outlineLvl w:val="1"/>
        <w:rPr>
          <w:rFonts w:hint="default" w:ascii="Times New Roman" w:hAnsi="Times New Roman" w:eastAsia="黑体" w:cs="Times New Roman"/>
          <w:kern w:val="2"/>
          <w:sz w:val="32"/>
          <w:szCs w:val="40"/>
          <w:lang w:val="en-US" w:eastAsia="zh-CN" w:bidi="ar-SA"/>
        </w:rPr>
      </w:pPr>
      <w:r>
        <w:rPr>
          <w:rFonts w:hint="default" w:ascii="Times New Roman" w:hAnsi="Times New Roman" w:eastAsia="黑体" w:cs="Times New Roman"/>
          <w:kern w:val="2"/>
          <w:sz w:val="32"/>
          <w:szCs w:val="40"/>
          <w:lang w:val="en-US" w:eastAsia="zh-CN" w:bidi="ar-SA"/>
        </w:rPr>
        <w:t>九、预算绩效情况说明</w:t>
      </w:r>
    </w:p>
    <w:p>
      <w:pPr>
        <w:adjustRightInd w:val="0"/>
        <w:snapToGrid w:val="0"/>
        <w:spacing w:line="580" w:lineRule="exact"/>
        <w:ind w:firstLine="643" w:firstLineChars="200"/>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（一）预算绩效管理工作开展情况</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eastAsia" w:ascii="仿宋" w:hAnsi="仿宋" w:eastAsia="仿宋" w:cs="仿宋"/>
          <w:color w:val="auto"/>
          <w:kern w:val="2"/>
          <w:sz w:val="32"/>
          <w:szCs w:val="32"/>
          <w:lang w:val="zh-CN" w:eastAsia="zh-CN" w:bidi="ar-SA"/>
        </w:rPr>
      </w:pPr>
      <w:r>
        <w:rPr>
          <w:rFonts w:hint="default" w:ascii="Times New Roman" w:hAnsi="Times New Roman" w:eastAsia="仿宋_GB2312" w:cs="Times New Roman"/>
          <w:color w:val="auto"/>
          <w:kern w:val="2"/>
          <w:sz w:val="32"/>
          <w:szCs w:val="32"/>
          <w:lang w:val="zh-CN" w:eastAsia="zh-CN" w:bidi="ar-SA"/>
        </w:rPr>
        <w:t>根据预算绩效管理要求，本单位组织对2023年度一般公共预算项目支出全面开展绩效自评，其中，一级项目</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个，二级项目</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个，共涉及资金</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万元，占一般公共预算项目支出总额的</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w:t>
      </w:r>
      <w:r>
        <w:rPr>
          <w:rFonts w:hint="eastAsia" w:ascii="仿宋" w:hAnsi="仿宋" w:eastAsia="仿宋" w:cs="仿宋"/>
          <w:sz w:val="32"/>
          <w:szCs w:val="32"/>
        </w:rPr>
        <w:t>本单位本年度无项目。</w:t>
      </w:r>
    </w:p>
    <w:p>
      <w:pPr>
        <w:adjustRightInd w:val="0"/>
        <w:snapToGrid w:val="0"/>
        <w:spacing w:line="580" w:lineRule="exact"/>
        <w:ind w:firstLine="643" w:firstLineChars="200"/>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（二）部门决算中项目绩效自评结果（如有）</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60" w:firstLineChars="200"/>
        <w:jc w:val="left"/>
        <w:textAlignment w:val="auto"/>
        <w:rPr>
          <w:rFonts w:hint="eastAsia" w:ascii="仿宋" w:hAnsi="仿宋" w:eastAsia="仿宋" w:cs="仿宋"/>
          <w:color w:val="auto"/>
          <w:kern w:val="2"/>
          <w:sz w:val="32"/>
          <w:szCs w:val="32"/>
          <w:lang w:val="zh-CN" w:eastAsia="zh-CN" w:bidi="ar-SA"/>
        </w:rPr>
      </w:pP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eastAsia" w:ascii="仿宋" w:hAnsi="仿宋" w:eastAsia="仿宋" w:cs="仿宋"/>
          <w:sz w:val="32"/>
          <w:szCs w:val="32"/>
        </w:rPr>
        <w:t>本单位在今年单位决算公开中反映0个项目绩效自评结果。本单位本年度无项目。</w:t>
      </w:r>
    </w:p>
    <w:p>
      <w:pPr>
        <w:adjustRightInd w:val="0"/>
        <w:snapToGrid w:val="0"/>
        <w:spacing w:line="580" w:lineRule="exact"/>
        <w:ind w:left="480" w:leftChars="200" w:firstLine="321" w:firstLineChars="100"/>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（三）部门评价项目绩效评价结果（如有）</w:t>
      </w:r>
    </w:p>
    <w:p>
      <w:pPr>
        <w:adjustRightInd w:val="0"/>
        <w:snapToGrid w:val="0"/>
        <w:spacing w:line="580" w:lineRule="exact"/>
        <w:ind w:firstLine="640" w:firstLineChars="200"/>
        <w:rPr>
          <w:rFonts w:hint="default" w:ascii="Times New Roman" w:hAnsi="Times New Roman" w:eastAsia="楷体_GB2312" w:cs="Times New Roman"/>
          <w:b/>
          <w:bCs/>
          <w:sz w:val="32"/>
          <w:szCs w:val="32"/>
        </w:rPr>
      </w:pPr>
      <w:r>
        <w:rPr>
          <w:rFonts w:hint="default" w:ascii="Times New Roman" w:hAnsi="Times New Roman" w:eastAsia="黑体" w:cs="Times New Roman"/>
          <w:sz w:val="32"/>
          <w:szCs w:val="32"/>
        </w:rPr>
        <w:t>十、其他需要说明的情况</w:t>
      </w:r>
    </w:p>
    <w:p>
      <w:pPr>
        <w:adjustRightInd w:val="0"/>
        <w:snapToGrid w:val="0"/>
        <w:spacing w:line="58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 xml:space="preserve">1. </w:t>
      </w:r>
      <w:r>
        <w:rPr>
          <w:rFonts w:hint="eastAsia" w:ascii="仿宋" w:hAnsi="仿宋" w:eastAsia="仿宋" w:cs="仿宋"/>
          <w:sz w:val="32"/>
          <w:szCs w:val="32"/>
        </w:rPr>
        <w:t>本单位 202</w:t>
      </w:r>
      <w:r>
        <w:rPr>
          <w:rFonts w:hint="eastAsia" w:ascii="仿宋" w:hAnsi="仿宋" w:eastAsia="仿宋" w:cs="仿宋"/>
          <w:sz w:val="32"/>
          <w:szCs w:val="32"/>
          <w:lang w:val="en-US" w:eastAsia="zh-CN"/>
        </w:rPr>
        <w:t>3</w:t>
      </w:r>
      <w:r>
        <w:rPr>
          <w:rFonts w:hint="eastAsia" w:ascii="仿宋" w:hAnsi="仿宋" w:eastAsia="仿宋" w:cs="仿宋"/>
          <w:sz w:val="32"/>
          <w:szCs w:val="32"/>
        </w:rPr>
        <w:t>年度政府性基金预算财政拨款收入支出决算表（公开 07 表）、国有资本经营预算财政拨款支出决算表（公开 08 表）、财政拨款“三公”经费支出决算表（公开 09 表）无收支及结转结余情况，故政府性基金预算 财政拨款收入支出决算表（公开07 表）、国有资本经营预算财政拨款支出决算表（公开08 表）、财政拨款“三公”经费支出决算表（公开 09 表）以空表列示。</w:t>
      </w:r>
    </w:p>
    <w:p>
      <w:pPr>
        <w:adjustRightInd w:val="0"/>
        <w:snapToGrid w:val="0"/>
        <w:spacing w:line="58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 由于决算公开表格中金额数值应当保留两位小数，公开数据为四舍五入计算结果，个别数据合计项与分项之和存在小数点后差额，特此说明。</w:t>
      </w:r>
    </w:p>
    <w:p>
      <w:pP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br w:type="page"/>
      </w:r>
    </w:p>
    <w:p>
      <w:pPr>
        <w:adjustRightInd w:val="0"/>
        <w:snapToGrid w:val="0"/>
        <w:spacing w:line="580" w:lineRule="exact"/>
        <w:ind w:firstLine="640" w:firstLineChars="200"/>
        <w:rPr>
          <w:rFonts w:hint="default" w:ascii="Times New Roman" w:hAnsi="Times New Roman" w:eastAsia="仿宋_GB2312" w:cs="Times New Roman"/>
          <w:sz w:val="32"/>
          <w:szCs w:val="32"/>
        </w:rPr>
      </w:pPr>
    </w:p>
    <w:p>
      <w:pPr>
        <w:widowControl/>
        <w:spacing w:line="580" w:lineRule="exact"/>
        <w:ind w:firstLine="883" w:firstLineChars="200"/>
        <w:jc w:val="left"/>
        <w:rPr>
          <w:rFonts w:hint="default" w:ascii="Times New Roman" w:hAnsi="Times New Roman" w:eastAsia="宋体" w:cs="Times New Roman"/>
          <w:b/>
          <w:bCs/>
          <w:kern w:val="0"/>
          <w:sz w:val="44"/>
          <w:szCs w:val="44"/>
        </w:rPr>
      </w:pPr>
    </w:p>
    <w:p>
      <w:pPr>
        <w:rPr>
          <w:rFonts w:hint="default" w:ascii="Times New Roman" w:hAnsi="Times New Roman" w:eastAsia="仿宋_GB2312" w:cs="Times New Roman"/>
          <w:sz w:val="32"/>
          <w:szCs w:val="32"/>
        </w:rPr>
      </w:pPr>
    </w:p>
    <w:p>
      <w:pPr>
        <w:widowControl/>
        <w:jc w:val="cente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pPr>
        <w:widowControl/>
        <w:jc w:val="cente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第四部分 相关名词解释</w:t>
      </w:r>
    </w:p>
    <w:p>
      <w:pP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br w:type="page"/>
      </w:r>
    </w:p>
    <w:p>
      <w:pPr>
        <w:widowControl/>
        <w:jc w:val="cente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pPr>
        <w:rPr>
          <w:rFonts w:hint="default" w:ascii="Times New Roman" w:hAnsi="Times New Roman" w:eastAsia="仿宋_GB2312" w:cs="Times New Roman"/>
          <w:sz w:val="32"/>
          <w:szCs w:val="32"/>
        </w:rPr>
      </w:pP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一、</w:t>
      </w:r>
      <w:r>
        <w:rPr>
          <w:rFonts w:hint="default" w:ascii="Times New Roman" w:hAnsi="Times New Roman" w:eastAsia="仿宋_GB2312" w:cs="Times New Roman"/>
          <w:b/>
          <w:bCs/>
          <w:color w:val="000000"/>
          <w:kern w:val="0"/>
          <w:sz w:val="32"/>
          <w:szCs w:val="32"/>
        </w:rPr>
        <w:t>财政拨款收入：</w:t>
      </w:r>
      <w:r>
        <w:rPr>
          <w:rFonts w:hint="default" w:ascii="Times New Roman" w:hAnsi="Times New Roman" w:eastAsia="仿宋_GB2312" w:cs="Times New Roman"/>
          <w:bCs/>
          <w:color w:val="000000"/>
          <w:kern w:val="0"/>
          <w:sz w:val="32"/>
          <w:szCs w:val="32"/>
        </w:rPr>
        <w:t>指单位从同级财政部门取得的财政预算资金。</w:t>
      </w: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二、</w:t>
      </w:r>
      <w:r>
        <w:rPr>
          <w:rFonts w:hint="default" w:ascii="Times New Roman" w:hAnsi="Times New Roman" w:eastAsia="仿宋_GB2312" w:cs="Times New Roman"/>
          <w:b/>
          <w:bCs/>
          <w:color w:val="000000"/>
          <w:kern w:val="0"/>
          <w:sz w:val="32"/>
          <w:szCs w:val="32"/>
        </w:rPr>
        <w:t>事业收入：</w:t>
      </w:r>
      <w:r>
        <w:rPr>
          <w:rFonts w:hint="default" w:ascii="Times New Roman" w:hAnsi="Times New Roman" w:eastAsia="仿宋_GB2312" w:cs="Times New Roman"/>
          <w:bCs/>
          <w:color w:val="000000"/>
          <w:kern w:val="0"/>
          <w:sz w:val="32"/>
          <w:szCs w:val="32"/>
        </w:rPr>
        <w:t>指事业单位开展专业业务活动及辅助活动取得的收入。</w:t>
      </w: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三、</w:t>
      </w:r>
      <w:r>
        <w:rPr>
          <w:rFonts w:hint="default" w:ascii="Times New Roman" w:hAnsi="Times New Roman" w:eastAsia="仿宋_GB2312" w:cs="Times New Roman"/>
          <w:b/>
          <w:bCs/>
          <w:color w:val="000000"/>
          <w:kern w:val="0"/>
          <w:sz w:val="32"/>
          <w:szCs w:val="32"/>
        </w:rPr>
        <w:t>经营收入：</w:t>
      </w:r>
      <w:r>
        <w:rPr>
          <w:rFonts w:hint="default" w:ascii="Times New Roman" w:hAnsi="Times New Roman" w:eastAsia="仿宋_GB2312" w:cs="Times New Roman"/>
          <w:bCs/>
          <w:color w:val="000000"/>
          <w:kern w:val="0"/>
          <w:sz w:val="32"/>
          <w:szCs w:val="32"/>
        </w:rPr>
        <w:t>指事业单位在专业业务活动及其辅助活动之外开展非独立核算经营活动取得的收入。</w:t>
      </w: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四、</w:t>
      </w:r>
      <w:r>
        <w:rPr>
          <w:rFonts w:hint="default" w:ascii="Times New Roman" w:hAnsi="Times New Roman" w:eastAsia="仿宋_GB2312" w:cs="Times New Roman"/>
          <w:b/>
          <w:bCs/>
          <w:color w:val="000000"/>
          <w:kern w:val="0"/>
          <w:sz w:val="32"/>
          <w:szCs w:val="32"/>
        </w:rPr>
        <w:t>其他收入：</w:t>
      </w:r>
      <w:r>
        <w:rPr>
          <w:rFonts w:hint="default" w:ascii="Times New Roman" w:hAnsi="Times New Roman" w:eastAsia="仿宋_GB2312" w:cs="Times New Roman"/>
          <w:bCs/>
          <w:color w:val="000000"/>
          <w:kern w:val="0"/>
          <w:sz w:val="32"/>
          <w:szCs w:val="32"/>
        </w:rPr>
        <w:t>指单位取得的除上述收入以外的各项收</w:t>
      </w:r>
    </w:p>
    <w:p>
      <w:pPr>
        <w:spacing w:line="580" w:lineRule="exact"/>
        <w:rPr>
          <w:rFonts w:hint="default" w:ascii="Times New Roman" w:hAnsi="Times New Roman" w:eastAsia="仿宋_GB2312" w:cs="Times New Roman"/>
          <w:b/>
          <w:bCs/>
          <w:color w:val="000000"/>
          <w:kern w:val="0"/>
          <w:sz w:val="32"/>
          <w:szCs w:val="32"/>
        </w:rPr>
      </w:pPr>
      <w:r>
        <w:rPr>
          <w:rFonts w:hint="default" w:ascii="Times New Roman" w:hAnsi="Times New Roman" w:eastAsia="仿宋_GB2312" w:cs="Times New Roman"/>
          <w:bCs/>
          <w:color w:val="000000"/>
          <w:kern w:val="0"/>
          <w:sz w:val="32"/>
          <w:szCs w:val="32"/>
        </w:rPr>
        <w:t>入。主要是事业单位固定资产出租收入、存款利息收入等。</w:t>
      </w:r>
    </w:p>
    <w:p>
      <w:p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五、</w:t>
      </w:r>
      <w:r>
        <w:rPr>
          <w:rFonts w:hint="default" w:ascii="Times New Roman" w:hAnsi="Times New Roman" w:eastAsia="仿宋_GB2312" w:cs="Times New Roman"/>
          <w:b/>
          <w:bCs/>
          <w:color w:val="000000"/>
          <w:kern w:val="0"/>
          <w:sz w:val="32"/>
          <w:szCs w:val="32"/>
        </w:rPr>
        <w:t>使用非财政拨款结余（含专用结余）：</w:t>
      </w:r>
      <w:r>
        <w:rPr>
          <w:rFonts w:hint="default" w:ascii="Times New Roman" w:hAnsi="Times New Roman" w:eastAsia="仿宋_GB2312" w:cs="Times New Roman"/>
          <w:bCs/>
          <w:color w:val="000000"/>
          <w:kern w:val="0"/>
          <w:sz w:val="32"/>
          <w:szCs w:val="32"/>
        </w:rPr>
        <w:t>指事业单位按照预算管理要求使用非财政拨款结余弥补收支差额的金额，以及使用专用结余安排支出的金额。</w:t>
      </w: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六、</w:t>
      </w:r>
      <w:r>
        <w:rPr>
          <w:rFonts w:hint="default" w:ascii="Times New Roman" w:hAnsi="Times New Roman" w:eastAsia="仿宋_GB2312" w:cs="Times New Roman"/>
          <w:b/>
          <w:bCs/>
          <w:color w:val="000000"/>
          <w:kern w:val="0"/>
          <w:sz w:val="32"/>
          <w:szCs w:val="32"/>
        </w:rPr>
        <w:t>年初结转和结余：</w:t>
      </w:r>
      <w:r>
        <w:rPr>
          <w:rFonts w:hint="default" w:ascii="Times New Roman" w:hAnsi="Times New Roman" w:eastAsia="仿宋_GB2312" w:cs="Times New Roman"/>
          <w:bCs/>
          <w:color w:val="000000"/>
          <w:kern w:val="0"/>
          <w:sz w:val="32"/>
          <w:szCs w:val="32"/>
        </w:rPr>
        <w:t>指单位以前年度尚未完成、结转到本年仍按原规定用途继续使用的资金，或项目已完成等产生的结余资金。</w:t>
      </w: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七、</w:t>
      </w:r>
      <w:r>
        <w:rPr>
          <w:rFonts w:hint="default" w:ascii="Times New Roman" w:hAnsi="Times New Roman" w:eastAsia="仿宋_GB2312" w:cs="Times New Roman"/>
          <w:b/>
          <w:bCs/>
          <w:color w:val="000000"/>
          <w:kern w:val="0"/>
          <w:sz w:val="32"/>
          <w:szCs w:val="32"/>
        </w:rPr>
        <w:t>结余分配：</w:t>
      </w:r>
      <w:r>
        <w:rPr>
          <w:rFonts w:hint="default" w:ascii="Times New Roman" w:hAnsi="Times New Roman" w:eastAsia="仿宋_GB2312" w:cs="Times New Roman"/>
          <w:bCs/>
          <w:color w:val="000000"/>
          <w:kern w:val="0"/>
          <w:sz w:val="32"/>
          <w:szCs w:val="32"/>
        </w:rPr>
        <w:t>指事业单位按照会计制度规定缴纳的所得税、提取的专用结余以及转入非财政拨款结余的金额等。</w:t>
      </w: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八、</w:t>
      </w:r>
      <w:r>
        <w:rPr>
          <w:rFonts w:hint="default" w:ascii="Times New Roman" w:hAnsi="Times New Roman" w:eastAsia="仿宋_GB2312" w:cs="Times New Roman"/>
          <w:b/>
          <w:bCs/>
          <w:color w:val="000000"/>
          <w:kern w:val="0"/>
          <w:sz w:val="32"/>
          <w:szCs w:val="32"/>
        </w:rPr>
        <w:t>年末结转和结余：</w:t>
      </w:r>
      <w:r>
        <w:rPr>
          <w:rFonts w:hint="default" w:ascii="Times New Roman" w:hAnsi="Times New Roman" w:eastAsia="仿宋_GB2312" w:cs="Times New Roman"/>
          <w:bCs/>
          <w:color w:val="000000"/>
          <w:kern w:val="0"/>
          <w:sz w:val="32"/>
          <w:szCs w:val="32"/>
        </w:rPr>
        <w:t>指单位按有关规定结转到下年或以后年度继续使用的资金，或项目已完成等产生的结余资金。</w:t>
      </w: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九、</w:t>
      </w:r>
      <w:r>
        <w:rPr>
          <w:rFonts w:hint="default" w:ascii="Times New Roman" w:hAnsi="Times New Roman" w:eastAsia="仿宋_GB2312" w:cs="Times New Roman"/>
          <w:b/>
          <w:bCs/>
          <w:color w:val="000000"/>
          <w:kern w:val="0"/>
          <w:sz w:val="32"/>
          <w:szCs w:val="32"/>
        </w:rPr>
        <w:t>基本支出：</w:t>
      </w:r>
      <w:r>
        <w:rPr>
          <w:rFonts w:hint="default" w:ascii="Times New Roman" w:hAnsi="Times New Roman" w:eastAsia="仿宋_GB2312" w:cs="Times New Roman"/>
          <w:bCs/>
          <w:color w:val="000000"/>
          <w:kern w:val="0"/>
          <w:sz w:val="32"/>
          <w:szCs w:val="32"/>
        </w:rPr>
        <w:t>指为保障机构正常运转、完成日常工作任务而发生的人员支出和公用支出。</w:t>
      </w:r>
    </w:p>
    <w:p>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w:t>
      </w:r>
      <w:r>
        <w:rPr>
          <w:rFonts w:hint="default" w:ascii="Times New Roman" w:hAnsi="Times New Roman" w:eastAsia="仿宋_GB2312" w:cs="Times New Roman"/>
          <w:b/>
          <w:bCs/>
          <w:color w:val="000000"/>
          <w:kern w:val="0"/>
          <w:sz w:val="32"/>
          <w:szCs w:val="32"/>
        </w:rPr>
        <w:t>项目支出：</w:t>
      </w:r>
      <w:r>
        <w:rPr>
          <w:rFonts w:hint="default" w:ascii="Times New Roman" w:hAnsi="Times New Roman" w:eastAsia="仿宋_GB2312" w:cs="Times New Roman"/>
          <w:color w:val="000000"/>
          <w:kern w:val="0"/>
          <w:sz w:val="32"/>
          <w:szCs w:val="32"/>
        </w:rPr>
        <w:t>指在基本支出之外为完成特定行政任务和事业发展目标所发生的支出。</w:t>
      </w:r>
    </w:p>
    <w:p>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十一、</w:t>
      </w:r>
      <w:r>
        <w:rPr>
          <w:rFonts w:hint="default" w:ascii="Times New Roman" w:hAnsi="Times New Roman" w:eastAsia="仿宋_GB2312" w:cs="Times New Roman"/>
          <w:b/>
          <w:bCs/>
          <w:color w:val="000000"/>
          <w:kern w:val="0"/>
          <w:sz w:val="32"/>
          <w:szCs w:val="32"/>
        </w:rPr>
        <w:t>经营支出 ：</w:t>
      </w:r>
      <w:r>
        <w:rPr>
          <w:rFonts w:hint="default" w:ascii="Times New Roman" w:hAnsi="Times New Roman" w:eastAsia="仿宋_GB2312" w:cs="Times New Roman"/>
          <w:color w:val="000000"/>
          <w:kern w:val="0"/>
          <w:sz w:val="32"/>
          <w:szCs w:val="32"/>
        </w:rPr>
        <w:t>指事业单位在专业业务活动及其辅助活动之外开展非独立核算经营活动发生的支出。</w:t>
      </w:r>
    </w:p>
    <w:p>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十二、</w:t>
      </w:r>
      <w:r>
        <w:rPr>
          <w:rFonts w:hint="default" w:ascii="Times New Roman" w:hAnsi="Times New Roman" w:eastAsia="仿宋_GB2312" w:cs="Times New Roman"/>
          <w:b/>
          <w:bCs/>
          <w:color w:val="000000"/>
          <w:kern w:val="0"/>
          <w:sz w:val="32"/>
          <w:szCs w:val="32"/>
        </w:rPr>
        <w:t>基本建设支出：</w:t>
      </w:r>
      <w:r>
        <w:rPr>
          <w:rFonts w:hint="default" w:ascii="Times New Roman" w:hAnsi="Times New Roman" w:eastAsia="仿宋_GB2312" w:cs="Times New Roman"/>
          <w:color w:val="000000"/>
          <w:kern w:val="0"/>
          <w:sz w:val="32"/>
          <w:szCs w:val="32"/>
        </w:rPr>
        <w:t>填列由本级发展与改革部门集中安排的用于购置固定资产、战略性和应急性储备、土地和无形资产，以及购建基础设施、大型修缮所发生的一般公共预算财政拨款支出，不包括政府性基金、财政专户管理资金以及各类拼盘自筹资金等。</w:t>
      </w:r>
    </w:p>
    <w:p>
      <w:pPr>
        <w:widowControl/>
        <w:spacing w:line="560" w:lineRule="exact"/>
        <w:ind w:firstLine="643" w:firstLineChars="200"/>
        <w:rPr>
          <w:rFonts w:hint="default" w:ascii="Times New Roman" w:hAnsi="Times New Roman" w:eastAsia="仿宋_GB2312" w:cs="Times New Roman"/>
          <w:b/>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十三、</w:t>
      </w:r>
      <w:r>
        <w:rPr>
          <w:rFonts w:hint="default" w:ascii="Times New Roman" w:hAnsi="Times New Roman" w:eastAsia="仿宋_GB2312" w:cs="Times New Roman"/>
          <w:b/>
          <w:bCs/>
          <w:color w:val="000000"/>
          <w:kern w:val="0"/>
          <w:sz w:val="32"/>
          <w:szCs w:val="32"/>
        </w:rPr>
        <w:t>其他资本性支出：</w:t>
      </w:r>
      <w:r>
        <w:rPr>
          <w:rFonts w:hint="default" w:ascii="Times New Roman" w:hAnsi="Times New Roman" w:eastAsia="仿宋_GB2312" w:cs="Times New Roman"/>
          <w:color w:val="000000"/>
          <w:kern w:val="0"/>
          <w:sz w:val="32"/>
          <w:szCs w:val="32"/>
        </w:rPr>
        <w:t>填列由各级非发展与改革部门集中安排的用于购置固定资产、战备性和应急性储备、土地和无形资产，以及购建基础设施、大型修缮和财政支持企业更新改造所发生的支出。</w:t>
      </w:r>
    </w:p>
    <w:p>
      <w:pPr>
        <w:snapToGrid w:val="0"/>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十四、</w:t>
      </w:r>
      <w:r>
        <w:rPr>
          <w:rFonts w:hint="default" w:ascii="Times New Roman" w:hAnsi="Times New Roman" w:eastAsia="仿宋_GB2312" w:cs="Times New Roman"/>
          <w:b/>
          <w:bCs/>
          <w:color w:val="000000"/>
          <w:kern w:val="0"/>
          <w:sz w:val="32"/>
          <w:szCs w:val="32"/>
        </w:rPr>
        <w:t>“三公”经费：</w:t>
      </w:r>
      <w:r>
        <w:rPr>
          <w:rFonts w:hint="default" w:ascii="Times New Roman" w:hAnsi="Times New Roman" w:eastAsia="仿宋_GB2312" w:cs="Times New Roman"/>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励费用等支出；公务接待费反映单位按规定开支的各类公务接待（含外宾接待）支出。</w:t>
      </w:r>
    </w:p>
    <w:p>
      <w:pPr>
        <w:snapToGrid w:val="0"/>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十五、</w:t>
      </w:r>
      <w:r>
        <w:rPr>
          <w:rFonts w:hint="default" w:ascii="Times New Roman" w:hAnsi="Times New Roman" w:eastAsia="仿宋_GB2312" w:cs="Times New Roman"/>
          <w:b/>
          <w:bCs/>
          <w:color w:val="000000"/>
          <w:kern w:val="0"/>
          <w:sz w:val="32"/>
          <w:szCs w:val="32"/>
        </w:rPr>
        <w:t>其他交通费用：</w:t>
      </w:r>
      <w:r>
        <w:rPr>
          <w:rFonts w:hint="default" w:ascii="Times New Roman" w:hAnsi="Times New Roman" w:eastAsia="仿宋_GB2312" w:cs="Times New Roman"/>
          <w:color w:val="000000"/>
          <w:kern w:val="0"/>
          <w:sz w:val="32"/>
          <w:szCs w:val="32"/>
        </w:rPr>
        <w:t>填列单位除公务用车运行维护费以外的其他交通费用。如公务交通补贴、租车费用、出租车费用，飞机、船舶等燃料费、维修费、保险费等。</w:t>
      </w:r>
    </w:p>
    <w:p>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十六、</w:t>
      </w:r>
      <w:r>
        <w:rPr>
          <w:rFonts w:hint="default" w:ascii="Times New Roman" w:hAnsi="Times New Roman" w:eastAsia="仿宋_GB2312" w:cs="Times New Roman"/>
          <w:b/>
          <w:bCs/>
          <w:color w:val="000000"/>
          <w:kern w:val="0"/>
          <w:sz w:val="32"/>
          <w:szCs w:val="32"/>
        </w:rPr>
        <w:t>公务用车购置：</w:t>
      </w:r>
      <w:r>
        <w:rPr>
          <w:rFonts w:hint="default" w:ascii="Times New Roman" w:hAnsi="Times New Roman" w:eastAsia="仿宋_GB2312" w:cs="Times New Roman"/>
          <w:color w:val="000000"/>
          <w:kern w:val="0"/>
          <w:sz w:val="32"/>
          <w:szCs w:val="32"/>
        </w:rPr>
        <w:t>填列单位公务用车车辆购置支出（含车辆购置税、牌照费）。</w:t>
      </w:r>
    </w:p>
    <w:p>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十七、</w:t>
      </w:r>
      <w:r>
        <w:rPr>
          <w:rFonts w:hint="default" w:ascii="Times New Roman" w:hAnsi="Times New Roman" w:eastAsia="仿宋_GB2312" w:cs="Times New Roman"/>
          <w:b/>
          <w:bCs/>
          <w:color w:val="000000"/>
          <w:kern w:val="0"/>
          <w:sz w:val="32"/>
          <w:szCs w:val="32"/>
        </w:rPr>
        <w:t>其他交通工具购置：</w:t>
      </w:r>
      <w:r>
        <w:rPr>
          <w:rFonts w:hint="default" w:ascii="Times New Roman" w:hAnsi="Times New Roman" w:eastAsia="仿宋_GB2312" w:cs="Times New Roman"/>
          <w:color w:val="000000"/>
          <w:kern w:val="0"/>
          <w:sz w:val="32"/>
          <w:szCs w:val="32"/>
        </w:rPr>
        <w:t>填列单位除公务用车外的其他各类交通工具（如船舶、飞机等）购置支出（含车辆购置税、牌照费）。</w:t>
      </w:r>
    </w:p>
    <w:p>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b/>
          <w:bCs/>
          <w:color w:val="000000"/>
          <w:kern w:val="0"/>
          <w:sz w:val="32"/>
          <w:szCs w:val="32"/>
        </w:rPr>
        <w:t>十八、机关运行经费：</w:t>
      </w:r>
      <w:r>
        <w:rPr>
          <w:rFonts w:hint="default" w:ascii="Times New Roman" w:hAnsi="Times New Roman" w:eastAsia="仿宋_GB2312" w:cs="Times New Roman"/>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pPr>
        <w:tabs>
          <w:tab w:val="left" w:pos="235"/>
        </w:tabs>
        <w:ind w:firstLine="643" w:firstLineChars="200"/>
        <w:jc w:val="left"/>
        <w:rPr>
          <w:rFonts w:hint="eastAsia" w:ascii="Times New Roman" w:hAnsi="Times New Roman" w:eastAsia="仿宋_GB2312" w:cs="Times New Roman"/>
          <w:kern w:val="0"/>
          <w:sz w:val="32"/>
          <w:szCs w:val="32"/>
          <w:lang w:eastAsia="zh-CN"/>
        </w:rPr>
      </w:pPr>
      <w:r>
        <w:rPr>
          <w:rFonts w:hint="default" w:ascii="Times New Roman" w:hAnsi="Times New Roman" w:eastAsia="仿宋_GB2312" w:cs="Times New Roman"/>
          <w:b/>
          <w:bCs/>
          <w:color w:val="000000"/>
          <w:kern w:val="0"/>
          <w:sz w:val="32"/>
          <w:szCs w:val="32"/>
        </w:rPr>
        <w:t>十九、经费形式:</w:t>
      </w:r>
      <w:r>
        <w:rPr>
          <w:rFonts w:hint="default" w:ascii="Times New Roman" w:hAnsi="Times New Roman" w:eastAsia="仿宋_GB2312" w:cs="Times New Roman"/>
          <w:color w:val="000000"/>
          <w:kern w:val="0"/>
          <w:sz w:val="32"/>
          <w:szCs w:val="32"/>
        </w:rPr>
        <w:t>按照经费来源，</w:t>
      </w:r>
      <w:r>
        <w:rPr>
          <w:rFonts w:hint="default" w:ascii="Times New Roman" w:hAnsi="Times New Roman" w:eastAsia="仿宋_GB2312" w:cs="Times New Roman"/>
          <w:kern w:val="0"/>
          <w:sz w:val="32"/>
          <w:szCs w:val="32"/>
        </w:rPr>
        <w:t>可分为财政拨款、财政性资金基本保证、财政性资金定额或定项补助、财政性资金零补助四类</w:t>
      </w:r>
      <w:r>
        <w:rPr>
          <w:rFonts w:hint="eastAsia" w:ascii="Times New Roman" w:hAnsi="Times New Roman" w:eastAsia="仿宋_GB2312" w:cs="Times New Roman"/>
          <w:kern w:val="0"/>
          <w:sz w:val="32"/>
          <w:szCs w:val="32"/>
          <w:lang w:eastAsia="zh-CN"/>
        </w:rPr>
        <w:t>。</w:t>
      </w:r>
    </w:p>
    <w:p>
      <w:pPr>
        <w:rPr>
          <w:rFonts w:hint="default" w:ascii="Times New Roman" w:hAnsi="Times New Roman" w:cs="Times New Roman"/>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left"/>
        <w:rPr>
          <w:rFonts w:hint="default" w:ascii="Times New Roman" w:hAnsi="Times New Roman" w:eastAsia="仿宋_GB2312" w:cs="Times New Roman"/>
          <w:i w:val="0"/>
          <w:iCs w:val="0"/>
          <w:caps w:val="0"/>
          <w:color w:val="333333"/>
          <w:spacing w:val="0"/>
          <w:sz w:val="33"/>
          <w:szCs w:val="33"/>
          <w:highlight w:val="none"/>
          <w:shd w:val="clear" w:fill="FFFFFF"/>
        </w:rPr>
      </w:pPr>
    </w:p>
    <w:p>
      <w:pP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pPr>
    </w:p>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74BBA6D0-ED7F-499C-B2D3-3FDC4D0302CD}"/>
  </w:font>
  <w:font w:name="黑体">
    <w:panose1 w:val="02010609060101010101"/>
    <w:charset w:val="86"/>
    <w:family w:val="auto"/>
    <w:pitch w:val="default"/>
    <w:sig w:usb0="800002BF" w:usb1="38CF7CFA" w:usb2="00000016" w:usb3="00000000" w:csb0="00040001" w:csb1="00000000"/>
    <w:embedRegular r:id="rId2" w:fontKey="{A1E6AF02-0F68-4872-87D7-23E9EB4C197E}"/>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3" w:fontKey="{AA2F187E-5A0D-4769-A670-EB7BF0CEB1A2}"/>
  </w:font>
  <w:font w:name="仿宋">
    <w:panose1 w:val="02010609060101010101"/>
    <w:charset w:val="86"/>
    <w:family w:val="modern"/>
    <w:pitch w:val="default"/>
    <w:sig w:usb0="800002BF" w:usb1="38CF7CFA" w:usb2="00000016" w:usb3="00000000" w:csb0="00040001" w:csb1="00000000"/>
    <w:embedRegular r:id="rId4" w:fontKey="{A138A273-437E-4E1D-B820-7E0652FC7A3B}"/>
  </w:font>
  <w:font w:name="Calibri Light">
    <w:panose1 w:val="020F0302020204030204"/>
    <w:charset w:val="00"/>
    <w:family w:val="auto"/>
    <w:pitch w:val="default"/>
    <w:sig w:usb0="A00002EF" w:usb1="4000207B" w:usb2="00000000" w:usb3="00000000" w:csb0="2000019F" w:csb1="00000000"/>
  </w:font>
  <w:font w:name="华文中宋">
    <w:altName w:val="宋体"/>
    <w:panose1 w:val="02010600040101010101"/>
    <w:charset w:val="86"/>
    <w:family w:val="auto"/>
    <w:pitch w:val="default"/>
    <w:sig w:usb0="00000000" w:usb1="00000000" w:usb2="00000000" w:usb3="00000000" w:csb0="0004009F" w:csb1="DFD70000"/>
  </w:font>
  <w:font w:name="方正魏碑简体">
    <w:altName w:val="微软雅黑"/>
    <w:panose1 w:val="00000000000000000000"/>
    <w:charset w:val="86"/>
    <w:family w:val="auto"/>
    <w:pitch w:val="default"/>
    <w:sig w:usb0="00000000" w:usb1="00000000" w:usb2="00000010" w:usb3="00000000" w:csb0="00040000" w:csb1="00000000"/>
    <w:embedRegular r:id="rId5" w:fontKey="{F27AAC09-34EE-44DE-88A2-5FC40E33418C}"/>
  </w:font>
  <w:font w:name="思源黑体 CN Heavy">
    <w:altName w:val="黑体"/>
    <w:panose1 w:val="00000000000000000000"/>
    <w:charset w:val="86"/>
    <w:family w:val="swiss"/>
    <w:pitch w:val="default"/>
    <w:sig w:usb0="00000000" w:usb1="00000000" w:usb2="00000016" w:usb3="00000000" w:csb0="00060107" w:csb1="00000000"/>
    <w:embedRegular r:id="rId6" w:fontKey="{8CD95909-D284-4713-A947-76B249FA704F}"/>
  </w:font>
  <w:font w:name="楷体_GB2312">
    <w:altName w:val="楷体"/>
    <w:panose1 w:val="02010609030101010101"/>
    <w:charset w:val="86"/>
    <w:family w:val="auto"/>
    <w:pitch w:val="default"/>
    <w:sig w:usb0="00000000" w:usb1="00000000" w:usb2="00000000" w:usb3="00000000" w:csb0="00040000" w:csb1="00000000"/>
    <w:embedRegular r:id="rId7" w:fontKey="{2AE61B34-B41C-4CB2-B31E-F5D1556DD401}"/>
  </w:font>
  <w:font w:name="仿宋_GB2312">
    <w:panose1 w:val="02010609030101010101"/>
    <w:charset w:val="86"/>
    <w:family w:val="auto"/>
    <w:pitch w:val="default"/>
    <w:sig w:usb0="00000000" w:usb1="00000000" w:usb2="00000000" w:usb3="00000000" w:csb0="00000000" w:csb1="00000000"/>
    <w:embedRegular r:id="rId8" w:fontKey="{1CED35BA-F684-4079-A12A-A5345FE6C81B}"/>
  </w:font>
  <w:font w:name="ArialUnicodeMS">
    <w:altName w:val="Malgun Gothic"/>
    <w:panose1 w:val="00000000000000000000"/>
    <w:charset w:val="81"/>
    <w:family w:val="auto"/>
    <w:pitch w:val="default"/>
    <w:sig w:usb0="00000000" w:usb1="00000000" w:usb2="00000010" w:usb3="00000000" w:csb0="00080001" w:csb1="00000000"/>
    <w:embedRegular r:id="rId9" w:fontKey="{90221FDF-F032-4039-8364-EC114C8AFE16}"/>
  </w:font>
  <w:font w:name="方正仿宋_GB2312">
    <w:panose1 w:val="02000000000000000000"/>
    <w:charset w:val="86"/>
    <w:family w:val="auto"/>
    <w:pitch w:val="default"/>
    <w:sig w:usb0="00000000" w:usb1="00000000" w:usb2="00000000" w:usb3="00000000" w:csb0="00000000" w:csb1="00000000"/>
    <w:embedRegular r:id="rId10" w:fontKey="{47B227AB-0966-4716-B888-0F7047A3B6EC}"/>
  </w:font>
  <w:font w:name="微软雅黑">
    <w:panose1 w:val="020B0503020204020204"/>
    <w:charset w:val="86"/>
    <w:family w:val="auto"/>
    <w:pitch w:val="default"/>
    <w:sig w:usb0="80000287" w:usb1="280F3C52" w:usb2="00000016" w:usb3="00000000" w:csb0="0004001F" w:csb1="00000000"/>
  </w:font>
  <w:font w:name="楷体">
    <w:panose1 w:val="02010609060101010101"/>
    <w:charset w:val="86"/>
    <w:family w:val="auto"/>
    <w:pitch w:val="default"/>
    <w:sig w:usb0="800002BF" w:usb1="38CF7CFA" w:usb2="00000016" w:usb3="00000000" w:csb0="00040001" w:csb1="00000000"/>
  </w:font>
  <w:font w:name="Malgun Gothic">
    <w:panose1 w:val="020B0503020000020004"/>
    <w:charset w:val="81"/>
    <w:family w:val="auto"/>
    <w:pitch w:val="default"/>
    <w:sig w:usb0="900002AF" w:usb1="01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31EB42C"/>
    <w:multiLevelType w:val="singleLevel"/>
    <w:tmpl w:val="F31EB42C"/>
    <w:lvl w:ilvl="0" w:tentative="0">
      <w:start w:val="4"/>
      <w:numFmt w:val="chineseCounting"/>
      <w:suff w:val="nothing"/>
      <w:lvlText w:val="（%1）"/>
      <w:lvlJc w:val="left"/>
      <w:rPr>
        <w:rFonts w:hint="eastAsia"/>
      </w:rPr>
    </w:lvl>
  </w:abstractNum>
  <w:abstractNum w:abstractNumId="1">
    <w:nsid w:val="5F16A424"/>
    <w:multiLevelType w:val="multilevel"/>
    <w:tmpl w:val="5F16A424"/>
    <w:lvl w:ilvl="0" w:tentative="0">
      <w:start w:val="1"/>
      <w:numFmt w:val="decimal"/>
      <w:pStyle w:val="2"/>
      <w:lvlText w:val="%1."/>
      <w:lvlJc w:val="left"/>
      <w:pPr>
        <w:ind w:left="425" w:hanging="425"/>
      </w:pPr>
      <w:rPr>
        <w:rFonts w:hint="default"/>
      </w:rPr>
    </w:lvl>
    <w:lvl w:ilvl="1" w:tentative="0">
      <w:start w:val="1"/>
      <w:numFmt w:val="decimal"/>
      <w:pStyle w:val="3"/>
      <w:lvlText w:val="%1.%2."/>
      <w:lvlJc w:val="left"/>
      <w:pPr>
        <w:ind w:left="567" w:hanging="567"/>
      </w:pPr>
      <w:rPr>
        <w:rFonts w:hint="default"/>
      </w:rPr>
    </w:lvl>
    <w:lvl w:ilvl="2" w:tentative="0">
      <w:start w:val="1"/>
      <w:numFmt w:val="decimal"/>
      <w:pStyle w:val="4"/>
      <w:lvlText w:val="%1.%2.%3."/>
      <w:lvlJc w:val="left"/>
      <w:pPr>
        <w:ind w:left="709" w:hanging="709"/>
      </w:pPr>
      <w:rPr>
        <w:rFonts w:hint="default"/>
      </w:rPr>
    </w:lvl>
    <w:lvl w:ilvl="3" w:tentative="0">
      <w:start w:val="1"/>
      <w:numFmt w:val="decimal"/>
      <w:pStyle w:val="5"/>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3"/>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jb3VudCI6NjcsImhkaWQiOiIzMWE1MzMwMDNjMmJhYTE1ZmE0MmVkZDFmNDA1ZThhMiIsInVzZXJDb3VudCI6NX0="/>
  </w:docVars>
  <w:rsids>
    <w:rsidRoot w:val="00000000"/>
    <w:rsid w:val="00086151"/>
    <w:rsid w:val="00236F8C"/>
    <w:rsid w:val="00714DEC"/>
    <w:rsid w:val="00822154"/>
    <w:rsid w:val="00B23D40"/>
    <w:rsid w:val="00C65689"/>
    <w:rsid w:val="00CC2C8E"/>
    <w:rsid w:val="01635AD2"/>
    <w:rsid w:val="01A03C5A"/>
    <w:rsid w:val="01A5267D"/>
    <w:rsid w:val="01AF6A8D"/>
    <w:rsid w:val="024808A2"/>
    <w:rsid w:val="025C3821"/>
    <w:rsid w:val="02DA3B1B"/>
    <w:rsid w:val="02E57B4D"/>
    <w:rsid w:val="03450B90"/>
    <w:rsid w:val="037B12D4"/>
    <w:rsid w:val="038016CB"/>
    <w:rsid w:val="03804D63"/>
    <w:rsid w:val="03FB73B0"/>
    <w:rsid w:val="04341068"/>
    <w:rsid w:val="049C1B9D"/>
    <w:rsid w:val="04BD008C"/>
    <w:rsid w:val="04C55939"/>
    <w:rsid w:val="04DA28BB"/>
    <w:rsid w:val="04F528BE"/>
    <w:rsid w:val="050E10CE"/>
    <w:rsid w:val="054F2DFB"/>
    <w:rsid w:val="05991C82"/>
    <w:rsid w:val="061416A9"/>
    <w:rsid w:val="061D60A6"/>
    <w:rsid w:val="06236884"/>
    <w:rsid w:val="06B07006"/>
    <w:rsid w:val="06FC7C2A"/>
    <w:rsid w:val="07533AFE"/>
    <w:rsid w:val="07B3657A"/>
    <w:rsid w:val="07C857D0"/>
    <w:rsid w:val="081728C8"/>
    <w:rsid w:val="0836079A"/>
    <w:rsid w:val="089B00FD"/>
    <w:rsid w:val="08AB5AAF"/>
    <w:rsid w:val="09012C64"/>
    <w:rsid w:val="092B1AB6"/>
    <w:rsid w:val="093B2E99"/>
    <w:rsid w:val="095D7943"/>
    <w:rsid w:val="09852C2F"/>
    <w:rsid w:val="09C006C6"/>
    <w:rsid w:val="0A10621F"/>
    <w:rsid w:val="0A464C4F"/>
    <w:rsid w:val="0A6729A3"/>
    <w:rsid w:val="0A694877"/>
    <w:rsid w:val="0AA954BE"/>
    <w:rsid w:val="0AC00A60"/>
    <w:rsid w:val="0AE70639"/>
    <w:rsid w:val="0B17094B"/>
    <w:rsid w:val="0B4F5E6D"/>
    <w:rsid w:val="0B753AE2"/>
    <w:rsid w:val="0BB67D0A"/>
    <w:rsid w:val="0BC56230"/>
    <w:rsid w:val="0BCF21BD"/>
    <w:rsid w:val="0C4E53E8"/>
    <w:rsid w:val="0C6712D6"/>
    <w:rsid w:val="0C9F7900"/>
    <w:rsid w:val="0CB23317"/>
    <w:rsid w:val="0D101068"/>
    <w:rsid w:val="0D197699"/>
    <w:rsid w:val="0D4E13BE"/>
    <w:rsid w:val="0D7557DF"/>
    <w:rsid w:val="0D853E34"/>
    <w:rsid w:val="0D9C2A57"/>
    <w:rsid w:val="0DBA15FC"/>
    <w:rsid w:val="0DFA5D82"/>
    <w:rsid w:val="0E1E52CE"/>
    <w:rsid w:val="0E866524"/>
    <w:rsid w:val="0E9268D3"/>
    <w:rsid w:val="0E957F1F"/>
    <w:rsid w:val="0F0E7284"/>
    <w:rsid w:val="0F28110F"/>
    <w:rsid w:val="0F37083F"/>
    <w:rsid w:val="0F801FFF"/>
    <w:rsid w:val="0F891DB8"/>
    <w:rsid w:val="0FAA3B86"/>
    <w:rsid w:val="10191346"/>
    <w:rsid w:val="102A01A6"/>
    <w:rsid w:val="104529B8"/>
    <w:rsid w:val="10754A6C"/>
    <w:rsid w:val="108B537D"/>
    <w:rsid w:val="108E6133"/>
    <w:rsid w:val="10A96A60"/>
    <w:rsid w:val="10B11DB1"/>
    <w:rsid w:val="11177F57"/>
    <w:rsid w:val="11217C97"/>
    <w:rsid w:val="11397265"/>
    <w:rsid w:val="11464C20"/>
    <w:rsid w:val="115E4926"/>
    <w:rsid w:val="11743570"/>
    <w:rsid w:val="118A1FFA"/>
    <w:rsid w:val="11E35B5A"/>
    <w:rsid w:val="11E42DD6"/>
    <w:rsid w:val="125F5A1B"/>
    <w:rsid w:val="126979D6"/>
    <w:rsid w:val="12823072"/>
    <w:rsid w:val="12967BD3"/>
    <w:rsid w:val="129E45A7"/>
    <w:rsid w:val="13074404"/>
    <w:rsid w:val="136A5C00"/>
    <w:rsid w:val="13B97B08"/>
    <w:rsid w:val="13C527AC"/>
    <w:rsid w:val="14711797"/>
    <w:rsid w:val="147B6F17"/>
    <w:rsid w:val="14D42061"/>
    <w:rsid w:val="15081C8B"/>
    <w:rsid w:val="15090D5C"/>
    <w:rsid w:val="15CF053D"/>
    <w:rsid w:val="15E0131A"/>
    <w:rsid w:val="162066E2"/>
    <w:rsid w:val="16457D9F"/>
    <w:rsid w:val="17223EFF"/>
    <w:rsid w:val="17AA5F28"/>
    <w:rsid w:val="17B713F6"/>
    <w:rsid w:val="17E71810"/>
    <w:rsid w:val="184350A0"/>
    <w:rsid w:val="18935485"/>
    <w:rsid w:val="18A34206"/>
    <w:rsid w:val="18DE3B2C"/>
    <w:rsid w:val="1906685D"/>
    <w:rsid w:val="19111683"/>
    <w:rsid w:val="19353916"/>
    <w:rsid w:val="193E101D"/>
    <w:rsid w:val="1954689D"/>
    <w:rsid w:val="19C10AF1"/>
    <w:rsid w:val="19FD056B"/>
    <w:rsid w:val="1A017CDA"/>
    <w:rsid w:val="1A2672DE"/>
    <w:rsid w:val="1A936C1F"/>
    <w:rsid w:val="1AA81D42"/>
    <w:rsid w:val="1AB433D9"/>
    <w:rsid w:val="1AFB6D70"/>
    <w:rsid w:val="1B1B11EE"/>
    <w:rsid w:val="1B3719E0"/>
    <w:rsid w:val="1B384603"/>
    <w:rsid w:val="1B6261C3"/>
    <w:rsid w:val="1B731730"/>
    <w:rsid w:val="1B882BB5"/>
    <w:rsid w:val="1B9B33C7"/>
    <w:rsid w:val="1B9D7FEC"/>
    <w:rsid w:val="1BA55461"/>
    <w:rsid w:val="1BE74496"/>
    <w:rsid w:val="1C3D67D1"/>
    <w:rsid w:val="1C40731A"/>
    <w:rsid w:val="1C506572"/>
    <w:rsid w:val="1C560392"/>
    <w:rsid w:val="1C563B3E"/>
    <w:rsid w:val="1C581532"/>
    <w:rsid w:val="1C6937BF"/>
    <w:rsid w:val="1CA15E03"/>
    <w:rsid w:val="1CA24F0C"/>
    <w:rsid w:val="1CF8716C"/>
    <w:rsid w:val="1D331EC1"/>
    <w:rsid w:val="1D4B1F5B"/>
    <w:rsid w:val="1D6C5CA0"/>
    <w:rsid w:val="1D725586"/>
    <w:rsid w:val="1D745B4F"/>
    <w:rsid w:val="1D867987"/>
    <w:rsid w:val="1D944010"/>
    <w:rsid w:val="1DD70E85"/>
    <w:rsid w:val="1DE74AD7"/>
    <w:rsid w:val="1DF60A19"/>
    <w:rsid w:val="1DFA6713"/>
    <w:rsid w:val="1E050843"/>
    <w:rsid w:val="1E2D3FB0"/>
    <w:rsid w:val="1E2E50F1"/>
    <w:rsid w:val="1E3B4E26"/>
    <w:rsid w:val="1EDF707D"/>
    <w:rsid w:val="1F394761"/>
    <w:rsid w:val="1F65664C"/>
    <w:rsid w:val="1F7C149A"/>
    <w:rsid w:val="1F84140D"/>
    <w:rsid w:val="1F9B7FFD"/>
    <w:rsid w:val="1F9C7614"/>
    <w:rsid w:val="1FBE1971"/>
    <w:rsid w:val="2008768D"/>
    <w:rsid w:val="20096E56"/>
    <w:rsid w:val="204B327F"/>
    <w:rsid w:val="204C2B10"/>
    <w:rsid w:val="207D30AD"/>
    <w:rsid w:val="209064B9"/>
    <w:rsid w:val="20970D81"/>
    <w:rsid w:val="20D165D5"/>
    <w:rsid w:val="210878E6"/>
    <w:rsid w:val="210E1408"/>
    <w:rsid w:val="211069AD"/>
    <w:rsid w:val="21573FAB"/>
    <w:rsid w:val="2172069C"/>
    <w:rsid w:val="21987BC4"/>
    <w:rsid w:val="21BE314A"/>
    <w:rsid w:val="220451AB"/>
    <w:rsid w:val="2237486E"/>
    <w:rsid w:val="223D1378"/>
    <w:rsid w:val="22451BC7"/>
    <w:rsid w:val="22940650"/>
    <w:rsid w:val="22AD4B1E"/>
    <w:rsid w:val="22AE0E79"/>
    <w:rsid w:val="22D31DF3"/>
    <w:rsid w:val="22FD3CF7"/>
    <w:rsid w:val="232C221B"/>
    <w:rsid w:val="2356249E"/>
    <w:rsid w:val="236E713A"/>
    <w:rsid w:val="23700968"/>
    <w:rsid w:val="238761A6"/>
    <w:rsid w:val="23920578"/>
    <w:rsid w:val="23B12F6B"/>
    <w:rsid w:val="23BB6F9A"/>
    <w:rsid w:val="23FC3864"/>
    <w:rsid w:val="24857B00"/>
    <w:rsid w:val="24F25212"/>
    <w:rsid w:val="25016A95"/>
    <w:rsid w:val="25100F15"/>
    <w:rsid w:val="251B0465"/>
    <w:rsid w:val="253B7D69"/>
    <w:rsid w:val="254B0AC6"/>
    <w:rsid w:val="25571AB6"/>
    <w:rsid w:val="256908AD"/>
    <w:rsid w:val="25B40AD6"/>
    <w:rsid w:val="25BE7872"/>
    <w:rsid w:val="25BF702A"/>
    <w:rsid w:val="264D2D17"/>
    <w:rsid w:val="26D50E55"/>
    <w:rsid w:val="271A539C"/>
    <w:rsid w:val="274972D4"/>
    <w:rsid w:val="27763E8B"/>
    <w:rsid w:val="27AA3D97"/>
    <w:rsid w:val="280A3758"/>
    <w:rsid w:val="282278FD"/>
    <w:rsid w:val="284223BA"/>
    <w:rsid w:val="2842673E"/>
    <w:rsid w:val="289057C5"/>
    <w:rsid w:val="28A67C7A"/>
    <w:rsid w:val="28EA3248"/>
    <w:rsid w:val="28F879DA"/>
    <w:rsid w:val="29156A5C"/>
    <w:rsid w:val="293C4C98"/>
    <w:rsid w:val="294B7731"/>
    <w:rsid w:val="29514455"/>
    <w:rsid w:val="29D21FF2"/>
    <w:rsid w:val="2A611B0F"/>
    <w:rsid w:val="2AAF14EC"/>
    <w:rsid w:val="2AC1762B"/>
    <w:rsid w:val="2AE845D0"/>
    <w:rsid w:val="2B4975FB"/>
    <w:rsid w:val="2B4A2B98"/>
    <w:rsid w:val="2B695031"/>
    <w:rsid w:val="2B735A8F"/>
    <w:rsid w:val="2BA7478D"/>
    <w:rsid w:val="2BB038DB"/>
    <w:rsid w:val="2BB761E0"/>
    <w:rsid w:val="2BB812F9"/>
    <w:rsid w:val="2BE35C27"/>
    <w:rsid w:val="2BFA504B"/>
    <w:rsid w:val="2C681F1F"/>
    <w:rsid w:val="2C8608DC"/>
    <w:rsid w:val="2CA4764A"/>
    <w:rsid w:val="2CC42ECA"/>
    <w:rsid w:val="2CDA4349"/>
    <w:rsid w:val="2D225539"/>
    <w:rsid w:val="2D4618D2"/>
    <w:rsid w:val="2D5F021B"/>
    <w:rsid w:val="2D6E1286"/>
    <w:rsid w:val="2D70583E"/>
    <w:rsid w:val="2D8C77E2"/>
    <w:rsid w:val="2DF11A31"/>
    <w:rsid w:val="2E047B0F"/>
    <w:rsid w:val="2E0725DC"/>
    <w:rsid w:val="2E1B4BB8"/>
    <w:rsid w:val="2E256CB6"/>
    <w:rsid w:val="2E5F27E4"/>
    <w:rsid w:val="2EBD223E"/>
    <w:rsid w:val="2EC10AD1"/>
    <w:rsid w:val="2ECB6A5A"/>
    <w:rsid w:val="2ECC245C"/>
    <w:rsid w:val="2EFC0112"/>
    <w:rsid w:val="2F2B730D"/>
    <w:rsid w:val="2F9F3DC1"/>
    <w:rsid w:val="2FFC7AC2"/>
    <w:rsid w:val="301430AF"/>
    <w:rsid w:val="302153C8"/>
    <w:rsid w:val="30630612"/>
    <w:rsid w:val="308E59B0"/>
    <w:rsid w:val="30B10568"/>
    <w:rsid w:val="30E55DD3"/>
    <w:rsid w:val="30E60399"/>
    <w:rsid w:val="31356AA5"/>
    <w:rsid w:val="313E22F0"/>
    <w:rsid w:val="31B0194C"/>
    <w:rsid w:val="31CE17D1"/>
    <w:rsid w:val="32270449"/>
    <w:rsid w:val="323E4515"/>
    <w:rsid w:val="325C6706"/>
    <w:rsid w:val="32762F7E"/>
    <w:rsid w:val="3286389B"/>
    <w:rsid w:val="32CF5C94"/>
    <w:rsid w:val="32D337C7"/>
    <w:rsid w:val="32E200EC"/>
    <w:rsid w:val="32E5408B"/>
    <w:rsid w:val="32EB0D70"/>
    <w:rsid w:val="332868BB"/>
    <w:rsid w:val="333211F3"/>
    <w:rsid w:val="33504B41"/>
    <w:rsid w:val="338B4A07"/>
    <w:rsid w:val="33944811"/>
    <w:rsid w:val="33CE0488"/>
    <w:rsid w:val="34262463"/>
    <w:rsid w:val="34296F31"/>
    <w:rsid w:val="34340A27"/>
    <w:rsid w:val="346A2989"/>
    <w:rsid w:val="348865E9"/>
    <w:rsid w:val="348F70D5"/>
    <w:rsid w:val="349D2BAD"/>
    <w:rsid w:val="34B25886"/>
    <w:rsid w:val="35277FF8"/>
    <w:rsid w:val="355832DF"/>
    <w:rsid w:val="35763460"/>
    <w:rsid w:val="35776F72"/>
    <w:rsid w:val="35997371"/>
    <w:rsid w:val="360134DF"/>
    <w:rsid w:val="360B1E2F"/>
    <w:rsid w:val="360D500F"/>
    <w:rsid w:val="36330424"/>
    <w:rsid w:val="36435DE8"/>
    <w:rsid w:val="369E615C"/>
    <w:rsid w:val="36F25EAA"/>
    <w:rsid w:val="36FE3ABA"/>
    <w:rsid w:val="37072BDE"/>
    <w:rsid w:val="37455334"/>
    <w:rsid w:val="37731921"/>
    <w:rsid w:val="37E509C0"/>
    <w:rsid w:val="37E96FB8"/>
    <w:rsid w:val="38222D85"/>
    <w:rsid w:val="38803721"/>
    <w:rsid w:val="38925A62"/>
    <w:rsid w:val="389F5F4F"/>
    <w:rsid w:val="38C36BA2"/>
    <w:rsid w:val="38F6595C"/>
    <w:rsid w:val="390F063E"/>
    <w:rsid w:val="391702A7"/>
    <w:rsid w:val="39286EB6"/>
    <w:rsid w:val="39601DF4"/>
    <w:rsid w:val="396960F3"/>
    <w:rsid w:val="396F5F8F"/>
    <w:rsid w:val="39840D35"/>
    <w:rsid w:val="39A97DAF"/>
    <w:rsid w:val="39CD1330"/>
    <w:rsid w:val="39DD1AFF"/>
    <w:rsid w:val="3A2510B9"/>
    <w:rsid w:val="3A2B1DFC"/>
    <w:rsid w:val="3AA6422C"/>
    <w:rsid w:val="3AAF46D5"/>
    <w:rsid w:val="3AD129FC"/>
    <w:rsid w:val="3AD71F9E"/>
    <w:rsid w:val="3AF562AE"/>
    <w:rsid w:val="3B135A0E"/>
    <w:rsid w:val="3B272BBC"/>
    <w:rsid w:val="3B374FEE"/>
    <w:rsid w:val="3B4410EE"/>
    <w:rsid w:val="3B56159C"/>
    <w:rsid w:val="3B596DF7"/>
    <w:rsid w:val="3B7D732B"/>
    <w:rsid w:val="3BD30423"/>
    <w:rsid w:val="3C1C2C00"/>
    <w:rsid w:val="3C6C0B58"/>
    <w:rsid w:val="3CBE41D5"/>
    <w:rsid w:val="3D446B0E"/>
    <w:rsid w:val="3D953A6B"/>
    <w:rsid w:val="3DBB5979"/>
    <w:rsid w:val="3DD56F21"/>
    <w:rsid w:val="3E1057AF"/>
    <w:rsid w:val="3E6C0DFA"/>
    <w:rsid w:val="3E740322"/>
    <w:rsid w:val="3E7F4380"/>
    <w:rsid w:val="3E8D171B"/>
    <w:rsid w:val="3EA5630D"/>
    <w:rsid w:val="3EBA731B"/>
    <w:rsid w:val="3EE33949"/>
    <w:rsid w:val="3EFB5800"/>
    <w:rsid w:val="3F3B4E59"/>
    <w:rsid w:val="3F6E677C"/>
    <w:rsid w:val="3F712F46"/>
    <w:rsid w:val="3FBC0EF7"/>
    <w:rsid w:val="3FCD2AB9"/>
    <w:rsid w:val="3FD17600"/>
    <w:rsid w:val="4050218A"/>
    <w:rsid w:val="405C7868"/>
    <w:rsid w:val="408A15D6"/>
    <w:rsid w:val="408B24EB"/>
    <w:rsid w:val="408D1DBF"/>
    <w:rsid w:val="40B75B62"/>
    <w:rsid w:val="40C652D1"/>
    <w:rsid w:val="410271BC"/>
    <w:rsid w:val="411B4DC8"/>
    <w:rsid w:val="417044B8"/>
    <w:rsid w:val="41A203A0"/>
    <w:rsid w:val="41C77987"/>
    <w:rsid w:val="41E83F8C"/>
    <w:rsid w:val="422D1842"/>
    <w:rsid w:val="425B7C31"/>
    <w:rsid w:val="427D66D0"/>
    <w:rsid w:val="4296735D"/>
    <w:rsid w:val="42BC7E02"/>
    <w:rsid w:val="42C82575"/>
    <w:rsid w:val="43022EE1"/>
    <w:rsid w:val="431A5F8F"/>
    <w:rsid w:val="431F247A"/>
    <w:rsid w:val="43335E8F"/>
    <w:rsid w:val="433F2968"/>
    <w:rsid w:val="43655F7F"/>
    <w:rsid w:val="43676E20"/>
    <w:rsid w:val="43A31040"/>
    <w:rsid w:val="43BF774E"/>
    <w:rsid w:val="43CD062F"/>
    <w:rsid w:val="43E214F9"/>
    <w:rsid w:val="43F06264"/>
    <w:rsid w:val="44404C8E"/>
    <w:rsid w:val="447537F1"/>
    <w:rsid w:val="44870D07"/>
    <w:rsid w:val="45133725"/>
    <w:rsid w:val="45344EFF"/>
    <w:rsid w:val="45513D03"/>
    <w:rsid w:val="45541E1C"/>
    <w:rsid w:val="45FE7734"/>
    <w:rsid w:val="461F0A8B"/>
    <w:rsid w:val="4648721E"/>
    <w:rsid w:val="46663E71"/>
    <w:rsid w:val="466A37AC"/>
    <w:rsid w:val="46CB071B"/>
    <w:rsid w:val="46DE140B"/>
    <w:rsid w:val="46E77334"/>
    <w:rsid w:val="46F22E29"/>
    <w:rsid w:val="46F7142F"/>
    <w:rsid w:val="47107AE3"/>
    <w:rsid w:val="473C62ED"/>
    <w:rsid w:val="4751641E"/>
    <w:rsid w:val="47617242"/>
    <w:rsid w:val="478C16C9"/>
    <w:rsid w:val="47BD246B"/>
    <w:rsid w:val="47CB2B0C"/>
    <w:rsid w:val="47E773CE"/>
    <w:rsid w:val="47EE2C9A"/>
    <w:rsid w:val="47F00499"/>
    <w:rsid w:val="48015FF5"/>
    <w:rsid w:val="483820D2"/>
    <w:rsid w:val="485B5BC5"/>
    <w:rsid w:val="48692CD0"/>
    <w:rsid w:val="486B1AB1"/>
    <w:rsid w:val="48AE3D01"/>
    <w:rsid w:val="49067B2F"/>
    <w:rsid w:val="49677E31"/>
    <w:rsid w:val="496C2225"/>
    <w:rsid w:val="49AE2880"/>
    <w:rsid w:val="49F42EAF"/>
    <w:rsid w:val="4A337323"/>
    <w:rsid w:val="4A4B7497"/>
    <w:rsid w:val="4A5B28DC"/>
    <w:rsid w:val="4A9248C6"/>
    <w:rsid w:val="4AA06B93"/>
    <w:rsid w:val="4AA9599B"/>
    <w:rsid w:val="4ADB18EB"/>
    <w:rsid w:val="4B96118E"/>
    <w:rsid w:val="4B9F62FA"/>
    <w:rsid w:val="4BAE1B66"/>
    <w:rsid w:val="4BED4708"/>
    <w:rsid w:val="4BF133DC"/>
    <w:rsid w:val="4C507D4A"/>
    <w:rsid w:val="4C8E17A8"/>
    <w:rsid w:val="4CDF5563"/>
    <w:rsid w:val="4CFB2214"/>
    <w:rsid w:val="4CFC1D42"/>
    <w:rsid w:val="4D2C4D26"/>
    <w:rsid w:val="4D335E0E"/>
    <w:rsid w:val="4D4E4EA3"/>
    <w:rsid w:val="4D7976C4"/>
    <w:rsid w:val="4D9A5B1B"/>
    <w:rsid w:val="4DA55D85"/>
    <w:rsid w:val="4DBB20DB"/>
    <w:rsid w:val="4DDC3F22"/>
    <w:rsid w:val="4DE66FB2"/>
    <w:rsid w:val="4E1040C7"/>
    <w:rsid w:val="4E1760BF"/>
    <w:rsid w:val="4E2C01BC"/>
    <w:rsid w:val="4E30647F"/>
    <w:rsid w:val="4EBA03C3"/>
    <w:rsid w:val="4EBC5459"/>
    <w:rsid w:val="4ED94CB0"/>
    <w:rsid w:val="4EEC2ED3"/>
    <w:rsid w:val="4F0E56EA"/>
    <w:rsid w:val="4F2E11BC"/>
    <w:rsid w:val="4F3C4343"/>
    <w:rsid w:val="4F416688"/>
    <w:rsid w:val="4F5620B0"/>
    <w:rsid w:val="4F616EB4"/>
    <w:rsid w:val="4F6654EE"/>
    <w:rsid w:val="4F7379C6"/>
    <w:rsid w:val="4F872BDB"/>
    <w:rsid w:val="4FA033E9"/>
    <w:rsid w:val="4FA743DA"/>
    <w:rsid w:val="4FB3565A"/>
    <w:rsid w:val="503D1C79"/>
    <w:rsid w:val="507A6406"/>
    <w:rsid w:val="50853863"/>
    <w:rsid w:val="508A4590"/>
    <w:rsid w:val="50F1461D"/>
    <w:rsid w:val="50FE5411"/>
    <w:rsid w:val="510B072E"/>
    <w:rsid w:val="511B0BF4"/>
    <w:rsid w:val="51264306"/>
    <w:rsid w:val="516123CE"/>
    <w:rsid w:val="51932FAD"/>
    <w:rsid w:val="51AA6C6F"/>
    <w:rsid w:val="51B177A9"/>
    <w:rsid w:val="51E066EB"/>
    <w:rsid w:val="524A4EE5"/>
    <w:rsid w:val="52640E8B"/>
    <w:rsid w:val="5267570A"/>
    <w:rsid w:val="52707792"/>
    <w:rsid w:val="52A12CDC"/>
    <w:rsid w:val="52DF0C92"/>
    <w:rsid w:val="52E1159C"/>
    <w:rsid w:val="52E34D6A"/>
    <w:rsid w:val="531E524E"/>
    <w:rsid w:val="534072EB"/>
    <w:rsid w:val="537648BE"/>
    <w:rsid w:val="538E2D0B"/>
    <w:rsid w:val="53922782"/>
    <w:rsid w:val="539C1424"/>
    <w:rsid w:val="53A639C0"/>
    <w:rsid w:val="53AC6A69"/>
    <w:rsid w:val="53C24B32"/>
    <w:rsid w:val="53F00A24"/>
    <w:rsid w:val="53F63DBA"/>
    <w:rsid w:val="53FD0A4B"/>
    <w:rsid w:val="5448624E"/>
    <w:rsid w:val="546E2B1A"/>
    <w:rsid w:val="5482555F"/>
    <w:rsid w:val="54AA6F8B"/>
    <w:rsid w:val="54D26583"/>
    <w:rsid w:val="54E93719"/>
    <w:rsid w:val="55363E67"/>
    <w:rsid w:val="556E6DF7"/>
    <w:rsid w:val="55965CE3"/>
    <w:rsid w:val="559D47CE"/>
    <w:rsid w:val="55BE1959"/>
    <w:rsid w:val="56232437"/>
    <w:rsid w:val="56541A75"/>
    <w:rsid w:val="568832FC"/>
    <w:rsid w:val="568C4181"/>
    <w:rsid w:val="570725A9"/>
    <w:rsid w:val="5714693E"/>
    <w:rsid w:val="571D0C9C"/>
    <w:rsid w:val="57282AF1"/>
    <w:rsid w:val="573A16CE"/>
    <w:rsid w:val="5744398D"/>
    <w:rsid w:val="577C3991"/>
    <w:rsid w:val="579C7F80"/>
    <w:rsid w:val="57B30D7C"/>
    <w:rsid w:val="58166B03"/>
    <w:rsid w:val="583E3C94"/>
    <w:rsid w:val="584528CB"/>
    <w:rsid w:val="58721734"/>
    <w:rsid w:val="58900246"/>
    <w:rsid w:val="58977358"/>
    <w:rsid w:val="58D53944"/>
    <w:rsid w:val="58D65478"/>
    <w:rsid w:val="58F52487"/>
    <w:rsid w:val="590422E6"/>
    <w:rsid w:val="592257E5"/>
    <w:rsid w:val="59655E33"/>
    <w:rsid w:val="59C53662"/>
    <w:rsid w:val="59CF5BD9"/>
    <w:rsid w:val="59E20C3C"/>
    <w:rsid w:val="5A012CF9"/>
    <w:rsid w:val="5A0603C9"/>
    <w:rsid w:val="5A114501"/>
    <w:rsid w:val="5A1D5B0A"/>
    <w:rsid w:val="5A3B4B4E"/>
    <w:rsid w:val="5A4804CA"/>
    <w:rsid w:val="5A594C85"/>
    <w:rsid w:val="5A8842AA"/>
    <w:rsid w:val="5AC804FC"/>
    <w:rsid w:val="5AEB1E3C"/>
    <w:rsid w:val="5B1D7C21"/>
    <w:rsid w:val="5B2507CA"/>
    <w:rsid w:val="5B2A474A"/>
    <w:rsid w:val="5B830730"/>
    <w:rsid w:val="5B9933DA"/>
    <w:rsid w:val="5BBB2DD6"/>
    <w:rsid w:val="5BE263B6"/>
    <w:rsid w:val="5C8E5C5A"/>
    <w:rsid w:val="5C965E61"/>
    <w:rsid w:val="5CF5796F"/>
    <w:rsid w:val="5D242A11"/>
    <w:rsid w:val="5D323DD7"/>
    <w:rsid w:val="5D9217C2"/>
    <w:rsid w:val="5DAD06BF"/>
    <w:rsid w:val="5DE23CB3"/>
    <w:rsid w:val="5DE97EEC"/>
    <w:rsid w:val="5DFA306D"/>
    <w:rsid w:val="5DFA5EB0"/>
    <w:rsid w:val="5E000E4D"/>
    <w:rsid w:val="5E0B583E"/>
    <w:rsid w:val="5E201A7B"/>
    <w:rsid w:val="5EA45884"/>
    <w:rsid w:val="5EBD0484"/>
    <w:rsid w:val="5F2C5C7C"/>
    <w:rsid w:val="5F36141C"/>
    <w:rsid w:val="5F7409EF"/>
    <w:rsid w:val="5FC5273F"/>
    <w:rsid w:val="5FFD1736"/>
    <w:rsid w:val="604F6C39"/>
    <w:rsid w:val="60806DF2"/>
    <w:rsid w:val="61072DA5"/>
    <w:rsid w:val="611C0817"/>
    <w:rsid w:val="611D7D37"/>
    <w:rsid w:val="61224A52"/>
    <w:rsid w:val="61520CCB"/>
    <w:rsid w:val="61851A29"/>
    <w:rsid w:val="61CD3019"/>
    <w:rsid w:val="622D1522"/>
    <w:rsid w:val="622E0574"/>
    <w:rsid w:val="62683B6B"/>
    <w:rsid w:val="6275761C"/>
    <w:rsid w:val="62816E52"/>
    <w:rsid w:val="62AC5944"/>
    <w:rsid w:val="632F3F8A"/>
    <w:rsid w:val="637279B4"/>
    <w:rsid w:val="63817D2B"/>
    <w:rsid w:val="63851314"/>
    <w:rsid w:val="63BA4BCC"/>
    <w:rsid w:val="63BD1FA9"/>
    <w:rsid w:val="63D175D1"/>
    <w:rsid w:val="63D27965"/>
    <w:rsid w:val="63F4667E"/>
    <w:rsid w:val="64095516"/>
    <w:rsid w:val="640F2752"/>
    <w:rsid w:val="641A2468"/>
    <w:rsid w:val="64372F20"/>
    <w:rsid w:val="64DC72D7"/>
    <w:rsid w:val="653619A6"/>
    <w:rsid w:val="65610A02"/>
    <w:rsid w:val="65A11EA3"/>
    <w:rsid w:val="65AC3D66"/>
    <w:rsid w:val="65BB5334"/>
    <w:rsid w:val="663E1DBA"/>
    <w:rsid w:val="665D0213"/>
    <w:rsid w:val="669E59F1"/>
    <w:rsid w:val="66A2024B"/>
    <w:rsid w:val="6704732B"/>
    <w:rsid w:val="670F6731"/>
    <w:rsid w:val="67585CB0"/>
    <w:rsid w:val="67770F0C"/>
    <w:rsid w:val="67B03535"/>
    <w:rsid w:val="68174F69"/>
    <w:rsid w:val="682C436A"/>
    <w:rsid w:val="68382778"/>
    <w:rsid w:val="68391F41"/>
    <w:rsid w:val="683E7C0C"/>
    <w:rsid w:val="68436B8C"/>
    <w:rsid w:val="68797358"/>
    <w:rsid w:val="6884624F"/>
    <w:rsid w:val="68A519DF"/>
    <w:rsid w:val="68C4160B"/>
    <w:rsid w:val="68C41C30"/>
    <w:rsid w:val="68CF3BA4"/>
    <w:rsid w:val="69257FA7"/>
    <w:rsid w:val="69354535"/>
    <w:rsid w:val="693F26C7"/>
    <w:rsid w:val="697E12B2"/>
    <w:rsid w:val="69C8706D"/>
    <w:rsid w:val="6A0E3FB4"/>
    <w:rsid w:val="6A292754"/>
    <w:rsid w:val="6A2961FD"/>
    <w:rsid w:val="6A5E3B28"/>
    <w:rsid w:val="6A6B1EBE"/>
    <w:rsid w:val="6A8F43F7"/>
    <w:rsid w:val="6AD625F3"/>
    <w:rsid w:val="6B7218BE"/>
    <w:rsid w:val="6B750BA9"/>
    <w:rsid w:val="6BB93285"/>
    <w:rsid w:val="6C0C698C"/>
    <w:rsid w:val="6C222401"/>
    <w:rsid w:val="6C225CC3"/>
    <w:rsid w:val="6C56267F"/>
    <w:rsid w:val="6C7454D9"/>
    <w:rsid w:val="6C826EF9"/>
    <w:rsid w:val="6CAE4C93"/>
    <w:rsid w:val="6CB14F16"/>
    <w:rsid w:val="6CEC2069"/>
    <w:rsid w:val="6D0B1869"/>
    <w:rsid w:val="6D4809C7"/>
    <w:rsid w:val="6D65402D"/>
    <w:rsid w:val="6D683822"/>
    <w:rsid w:val="6D8D136C"/>
    <w:rsid w:val="6DBF2759"/>
    <w:rsid w:val="6DC96F36"/>
    <w:rsid w:val="6DF04D7B"/>
    <w:rsid w:val="6DFA3EBF"/>
    <w:rsid w:val="6E3E63D2"/>
    <w:rsid w:val="6E404B4E"/>
    <w:rsid w:val="6E5F7BE6"/>
    <w:rsid w:val="6E642593"/>
    <w:rsid w:val="6E6918C6"/>
    <w:rsid w:val="6EEB4AC4"/>
    <w:rsid w:val="6F212DD6"/>
    <w:rsid w:val="6F3B5912"/>
    <w:rsid w:val="6FA14A81"/>
    <w:rsid w:val="6FA3261F"/>
    <w:rsid w:val="700D6539"/>
    <w:rsid w:val="704203E3"/>
    <w:rsid w:val="7058046B"/>
    <w:rsid w:val="707F2079"/>
    <w:rsid w:val="70922734"/>
    <w:rsid w:val="70CE6DC7"/>
    <w:rsid w:val="710B3646"/>
    <w:rsid w:val="711759F2"/>
    <w:rsid w:val="713C4ED8"/>
    <w:rsid w:val="71407642"/>
    <w:rsid w:val="71641210"/>
    <w:rsid w:val="71D95B7C"/>
    <w:rsid w:val="71EA6A50"/>
    <w:rsid w:val="71FE31A8"/>
    <w:rsid w:val="72031A89"/>
    <w:rsid w:val="720C30AE"/>
    <w:rsid w:val="721F6113"/>
    <w:rsid w:val="7233782C"/>
    <w:rsid w:val="724522CD"/>
    <w:rsid w:val="73177841"/>
    <w:rsid w:val="73356281"/>
    <w:rsid w:val="733774FE"/>
    <w:rsid w:val="73617E1B"/>
    <w:rsid w:val="736D7653"/>
    <w:rsid w:val="738035CB"/>
    <w:rsid w:val="73852C46"/>
    <w:rsid w:val="7396335C"/>
    <w:rsid w:val="73D001F3"/>
    <w:rsid w:val="73F46595"/>
    <w:rsid w:val="741E28C1"/>
    <w:rsid w:val="74283FA2"/>
    <w:rsid w:val="742C135B"/>
    <w:rsid w:val="74463733"/>
    <w:rsid w:val="748A2F40"/>
    <w:rsid w:val="74F85778"/>
    <w:rsid w:val="75272439"/>
    <w:rsid w:val="758F1E9B"/>
    <w:rsid w:val="75CE266B"/>
    <w:rsid w:val="76120141"/>
    <w:rsid w:val="768216BE"/>
    <w:rsid w:val="76AD5775"/>
    <w:rsid w:val="76C23B43"/>
    <w:rsid w:val="76FD6F97"/>
    <w:rsid w:val="770218E8"/>
    <w:rsid w:val="779469CE"/>
    <w:rsid w:val="77C875A5"/>
    <w:rsid w:val="784F25F9"/>
    <w:rsid w:val="78A27DF6"/>
    <w:rsid w:val="79242FD6"/>
    <w:rsid w:val="79285B3A"/>
    <w:rsid w:val="79625CA9"/>
    <w:rsid w:val="79A91196"/>
    <w:rsid w:val="79AB4691"/>
    <w:rsid w:val="7A0B32D3"/>
    <w:rsid w:val="7AC13CD3"/>
    <w:rsid w:val="7AE10264"/>
    <w:rsid w:val="7AE4248E"/>
    <w:rsid w:val="7B4A207F"/>
    <w:rsid w:val="7B743797"/>
    <w:rsid w:val="7B936F45"/>
    <w:rsid w:val="7BA47419"/>
    <w:rsid w:val="7BB10D45"/>
    <w:rsid w:val="7BB44151"/>
    <w:rsid w:val="7C656A39"/>
    <w:rsid w:val="7C677AAF"/>
    <w:rsid w:val="7CAE758F"/>
    <w:rsid w:val="7CB93996"/>
    <w:rsid w:val="7CBE0F99"/>
    <w:rsid w:val="7CFA5D6C"/>
    <w:rsid w:val="7D4E45F1"/>
    <w:rsid w:val="7DC8197A"/>
    <w:rsid w:val="7DFB6D82"/>
    <w:rsid w:val="7E1D71D1"/>
    <w:rsid w:val="7E246254"/>
    <w:rsid w:val="7E4B3063"/>
    <w:rsid w:val="7E6D090F"/>
    <w:rsid w:val="7ECC66B2"/>
    <w:rsid w:val="7EE432D2"/>
    <w:rsid w:val="7F2914C3"/>
    <w:rsid w:val="7F5F2ED6"/>
    <w:rsid w:val="7F684C53"/>
    <w:rsid w:val="7F8A0072"/>
    <w:rsid w:val="7FA837EF"/>
    <w:rsid w:val="7FC36955"/>
    <w:rsid w:val="7FE903A0"/>
    <w:rsid w:val="7FF07065"/>
    <w:rsid w:val="7FF97946"/>
    <w:rsid w:val="7FFE78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cs="宋体" w:asciiTheme="minorHAnsi" w:hAnsiTheme="minorHAnsi" w:eastAsiaTheme="minorEastAsia"/>
      <w:color w:val="auto"/>
      <w:kern w:val="0"/>
      <w:sz w:val="24"/>
      <w:szCs w:val="24"/>
      <w:lang w:val="en-US" w:eastAsia="zh-CN" w:bidi="ar-SA"/>
    </w:rPr>
  </w:style>
  <w:style w:type="paragraph" w:styleId="2">
    <w:name w:val="heading 1"/>
    <w:basedOn w:val="1"/>
    <w:next w:val="1"/>
    <w:qFormat/>
    <w:uiPriority w:val="0"/>
    <w:pPr>
      <w:keepNext/>
      <w:keepLines/>
      <w:numPr>
        <w:ilvl w:val="0"/>
        <w:numId w:val="1"/>
      </w:numPr>
      <w:adjustRightInd w:val="0"/>
      <w:snapToGrid w:val="0"/>
      <w:spacing w:before="340" w:after="50" w:afterLines="50" w:line="578" w:lineRule="auto"/>
      <w:ind w:left="425" w:hanging="425"/>
      <w:jc w:val="left"/>
      <w:outlineLvl w:val="0"/>
    </w:pPr>
    <w:rPr>
      <w:rFonts w:ascii="Times New Roman" w:hAnsi="Times New Roman" w:eastAsia="仿宋" w:cs="Times New Roman"/>
      <w:b/>
      <w:bCs/>
      <w:kern w:val="44"/>
      <w:sz w:val="36"/>
      <w:szCs w:val="44"/>
    </w:rPr>
  </w:style>
  <w:style w:type="paragraph" w:styleId="3">
    <w:name w:val="heading 2"/>
    <w:basedOn w:val="1"/>
    <w:next w:val="1"/>
    <w:link w:val="15"/>
    <w:semiHidden/>
    <w:unhideWhenUsed/>
    <w:qFormat/>
    <w:uiPriority w:val="9"/>
    <w:pPr>
      <w:widowControl w:val="0"/>
      <w:numPr>
        <w:ilvl w:val="1"/>
        <w:numId w:val="1"/>
      </w:numPr>
      <w:spacing w:line="416" w:lineRule="auto"/>
      <w:ind w:left="567" w:hanging="567"/>
      <w:outlineLvl w:val="1"/>
    </w:pPr>
    <w:rPr>
      <w:rFonts w:ascii="Calibri Light" w:hAnsi="Calibri Light" w:eastAsia="宋体" w:cs="Times New Roman"/>
      <w:b/>
      <w:bCs/>
      <w:sz w:val="28"/>
      <w:szCs w:val="32"/>
    </w:rPr>
  </w:style>
  <w:style w:type="paragraph" w:styleId="4">
    <w:name w:val="heading 3"/>
    <w:basedOn w:val="1"/>
    <w:next w:val="1"/>
    <w:semiHidden/>
    <w:unhideWhenUsed/>
    <w:qFormat/>
    <w:uiPriority w:val="9"/>
    <w:pPr>
      <w:keepNext/>
      <w:keepLines/>
      <w:numPr>
        <w:ilvl w:val="2"/>
        <w:numId w:val="1"/>
      </w:numPr>
      <w:spacing w:before="50" w:beforeLines="50" w:after="50" w:afterLines="50" w:line="416" w:lineRule="auto"/>
      <w:outlineLvl w:val="2"/>
    </w:pPr>
    <w:rPr>
      <w:rFonts w:ascii="宋体" w:hAnsi="宋体" w:eastAsia="宋体" w:cs="宋体"/>
      <w:b/>
      <w:bCs/>
      <w:sz w:val="32"/>
    </w:rPr>
  </w:style>
  <w:style w:type="paragraph" w:styleId="5">
    <w:name w:val="heading 4"/>
    <w:basedOn w:val="1"/>
    <w:next w:val="1"/>
    <w:semiHidden/>
    <w:unhideWhenUsed/>
    <w:qFormat/>
    <w:uiPriority w:val="9"/>
    <w:pPr>
      <w:keepNext/>
      <w:keepLines/>
      <w:numPr>
        <w:ilvl w:val="3"/>
        <w:numId w:val="1"/>
      </w:numPr>
      <w:spacing w:before="120" w:after="120"/>
      <w:outlineLvl w:val="3"/>
    </w:pPr>
    <w:rPr>
      <w:rFonts w:ascii="Calibri Light" w:hAnsi="Calibri Light" w:eastAsia="宋体" w:cs="Times New Roman"/>
      <w:b/>
      <w:bCs/>
      <w:sz w:val="28"/>
      <w:szCs w:val="28"/>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Layout w:type="fixed"/>
      <w:tblCellMar>
        <w:top w:w="0" w:type="dxa"/>
        <w:left w:w="108" w:type="dxa"/>
        <w:bottom w:w="0" w:type="dxa"/>
        <w:right w:w="108" w:type="dxa"/>
      </w:tblCellMar>
    </w:tblPr>
  </w:style>
  <w:style w:type="paragraph" w:styleId="6">
    <w:name w:val="annotation text"/>
    <w:basedOn w:val="1"/>
    <w:semiHidden/>
    <w:unhideWhenUsed/>
    <w:qFormat/>
    <w:uiPriority w:val="99"/>
    <w:pPr>
      <w:jc w:val="left"/>
    </w:pPr>
  </w:style>
  <w:style w:type="paragraph" w:styleId="7">
    <w:name w:val="Balloon Text"/>
    <w:basedOn w:val="1"/>
    <w:link w:val="24"/>
    <w:unhideWhenUsed/>
    <w:qFormat/>
    <w:uiPriority w:val="99"/>
    <w:rPr>
      <w:rFonts w:cstheme="minorBidi"/>
      <w:kern w:val="2"/>
      <w:sz w:val="18"/>
      <w:szCs w:val="18"/>
    </w:rPr>
  </w:style>
  <w:style w:type="paragraph" w:styleId="8">
    <w:name w:val="footer"/>
    <w:basedOn w:val="1"/>
    <w:link w:val="16"/>
    <w:qFormat/>
    <w:uiPriority w:val="99"/>
    <w:pPr>
      <w:tabs>
        <w:tab w:val="center" w:pos="4153"/>
        <w:tab w:val="right" w:pos="8306"/>
      </w:tabs>
      <w:snapToGrid w:val="0"/>
      <w:jc w:val="left"/>
    </w:pPr>
    <w:rPr>
      <w:rFonts w:cstheme="minorBidi"/>
      <w:kern w:val="2"/>
      <w:sz w:val="18"/>
      <w:szCs w:val="18"/>
    </w:rPr>
  </w:style>
  <w:style w:type="paragraph" w:styleId="9">
    <w:name w:val="header"/>
    <w:basedOn w:val="1"/>
    <w:link w:val="17"/>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rFonts w:cstheme="minorBidi"/>
      <w:kern w:val="2"/>
      <w:sz w:val="18"/>
      <w:szCs w:val="18"/>
    </w:rPr>
  </w:style>
  <w:style w:type="paragraph" w:styleId="10">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table" w:styleId="12">
    <w:name w:val="Table Grid"/>
    <w:qFormat/>
    <w:uiPriority w:val="0"/>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style>
  <w:style w:type="character" w:styleId="14">
    <w:name w:val="Strong"/>
    <w:basedOn w:val="13"/>
    <w:qFormat/>
    <w:uiPriority w:val="22"/>
    <w:rPr>
      <w:b/>
    </w:rPr>
  </w:style>
  <w:style w:type="character" w:customStyle="1" w:styleId="15">
    <w:name w:val="标题 2 Char"/>
    <w:link w:val="3"/>
    <w:qFormat/>
    <w:uiPriority w:val="0"/>
    <w:rPr>
      <w:rFonts w:ascii="Calibri Light" w:hAnsi="Calibri Light" w:eastAsia="宋体" w:cs="Times New Roman"/>
      <w:b/>
      <w:bCs/>
      <w:sz w:val="28"/>
      <w:szCs w:val="32"/>
    </w:rPr>
  </w:style>
  <w:style w:type="character" w:customStyle="1" w:styleId="16">
    <w:name w:val="页脚 Char"/>
    <w:basedOn w:val="13"/>
    <w:link w:val="8"/>
    <w:qFormat/>
    <w:uiPriority w:val="99"/>
    <w:rPr>
      <w:rFonts w:asciiTheme="minorHAnsi" w:hAnsiTheme="minorHAnsi" w:eastAsiaTheme="minorEastAsia" w:cstheme="minorBidi"/>
      <w:sz w:val="18"/>
      <w:szCs w:val="18"/>
      <w:lang w:val="en-US" w:eastAsia="zh-CN" w:bidi="ar-SA"/>
    </w:rPr>
  </w:style>
  <w:style w:type="character" w:customStyle="1" w:styleId="17">
    <w:name w:val="页眉 Char"/>
    <w:basedOn w:val="13"/>
    <w:link w:val="9"/>
    <w:qFormat/>
    <w:uiPriority w:val="0"/>
    <w:rPr>
      <w:rFonts w:asciiTheme="minorHAnsi" w:hAnsiTheme="minorHAnsi" w:eastAsiaTheme="minorEastAsia" w:cstheme="minorBidi"/>
      <w:sz w:val="18"/>
      <w:szCs w:val="18"/>
      <w:lang w:val="en-US" w:eastAsia="zh-CN" w:bidi="ar-SA"/>
    </w:rPr>
  </w:style>
  <w:style w:type="character" w:customStyle="1" w:styleId="18">
    <w:name w:val="font11"/>
    <w:basedOn w:val="13"/>
    <w:qFormat/>
    <w:uiPriority w:val="0"/>
    <w:rPr>
      <w:rFonts w:hint="eastAsia" w:ascii="宋体" w:hAnsi="宋体" w:eastAsia="宋体" w:cs="宋体"/>
      <w:color w:val="000000"/>
      <w:sz w:val="20"/>
      <w:szCs w:val="20"/>
      <w:u w:val="none"/>
      <w:lang w:val="en-US" w:eastAsia="zh-CN" w:bidi="ar-SA"/>
    </w:rPr>
  </w:style>
  <w:style w:type="character" w:customStyle="1" w:styleId="19">
    <w:name w:val="font01"/>
    <w:basedOn w:val="13"/>
    <w:qFormat/>
    <w:uiPriority w:val="0"/>
    <w:rPr>
      <w:rFonts w:hint="eastAsia" w:ascii="宋体" w:hAnsi="宋体" w:eastAsia="宋体" w:cs="宋体"/>
      <w:color w:val="000000"/>
      <w:sz w:val="22"/>
      <w:szCs w:val="22"/>
      <w:u w:val="none"/>
      <w:lang w:val="en-US" w:eastAsia="zh-CN" w:bidi="ar-SA"/>
    </w:rPr>
  </w:style>
  <w:style w:type="character" w:customStyle="1" w:styleId="20">
    <w:name w:val="font41"/>
    <w:basedOn w:val="13"/>
    <w:qFormat/>
    <w:uiPriority w:val="0"/>
    <w:rPr>
      <w:rFonts w:hint="eastAsia" w:ascii="宋体" w:hAnsi="宋体" w:eastAsia="宋体" w:cs="宋体"/>
      <w:color w:val="000000"/>
      <w:sz w:val="24"/>
      <w:szCs w:val="24"/>
      <w:u w:val="none"/>
      <w:lang w:val="en-US" w:eastAsia="zh-CN" w:bidi="ar-SA"/>
    </w:rPr>
  </w:style>
  <w:style w:type="character" w:customStyle="1" w:styleId="21">
    <w:name w:val="font31"/>
    <w:basedOn w:val="13"/>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2">
    <w:name w:val="font91"/>
    <w:basedOn w:val="13"/>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3">
    <w:name w:val="font51"/>
    <w:basedOn w:val="13"/>
    <w:qFormat/>
    <w:uiPriority w:val="0"/>
    <w:rPr>
      <w:rFonts w:hint="eastAsia" w:ascii="宋体" w:hAnsi="宋体" w:eastAsia="宋体" w:cs="宋体"/>
      <w:color w:val="000000"/>
      <w:sz w:val="24"/>
      <w:szCs w:val="24"/>
      <w:u w:val="none"/>
      <w:lang w:val="en-US" w:eastAsia="zh-CN" w:bidi="ar-SA"/>
    </w:rPr>
  </w:style>
  <w:style w:type="character" w:customStyle="1" w:styleId="24">
    <w:name w:val="批注框文本 Char"/>
    <w:basedOn w:val="13"/>
    <w:link w:val="7"/>
    <w:semiHidden/>
    <w:qFormat/>
    <w:uiPriority w:val="99"/>
    <w:rPr>
      <w:rFonts w:asciiTheme="minorHAnsi" w:hAnsiTheme="minorHAnsi" w:eastAsiaTheme="minorEastAsia" w:cstheme="minorBidi"/>
      <w:sz w:val="18"/>
      <w:szCs w:val="18"/>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1.svg"/><Relationship Id="rId13" Type="http://schemas.openxmlformats.org/officeDocument/2006/relationships/image" Target="media/image5.pn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神州网信技术有限公司</Company>
  <Pages>43</Pages>
  <Words>9971</Words>
  <Characters>22786</Characters>
  <Lines>86</Lines>
  <Paragraphs>24</Paragraphs>
  <TotalTime>37</TotalTime>
  <ScaleCrop>false</ScaleCrop>
  <LinksUpToDate>false</LinksUpToDate>
  <CharactersWithSpaces>23416</CharactersWithSpaces>
  <Application>WPS Office_11.8.2.8696_F1E327BC-269C-435d-A152-05C5408002CA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2023-08-04T07:55:00Z</dcterms:created>
  <dc:creator>王明新TIAD</dc:creator>
  <cp:lastModifiedBy>Administrator</cp:lastModifiedBy>
  <cp:lastPrinted>2023-08-04T01:00:00Z</cp:lastPrinted>
  <dcterms:modified xsi:type="dcterms:W3CDTF">2024-09-23T05:54:22Z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2052-11.8.2.8696</vt:lpwstr>
  </property>
  <property fmtid="{D5CDD505-2E9C-101B-9397-08002B2CF9AE}" pid="3" name="ICV">
    <vt:lpwstr>E51992B9E4F1441CBC96F02734AA4F8B_13</vt:lpwstr>
  </property>
  <property fmtid="{D5CDD505-2E9C-101B-9397-08002B2CF9AE}" pid="4" name="KSOTemplateUUID">
    <vt:lpwstr>v1.0_mb_S7ajbG3IpAnL1wSthNCxfw==</vt:lpwstr>
  </property>
</Properties>
</file>